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7C87113">
      <w:pPr>
        <w:overflowPunct w:val="0"/>
        <w:adjustRightInd w:val="0"/>
        <w:spacing w:line="1300" w:lineRule="exact"/>
        <w:ind w:right="210" w:rightChars="100"/>
        <w:rPr>
          <w:rFonts w:ascii="Times New Roman" w:hAnsi="Times New Roman" w:eastAsia="方正小标宋简体"/>
          <w:snapToGrid w:val="0"/>
          <w:color w:val="FF0000"/>
          <w:spacing w:val="28"/>
          <w:w w:val="66"/>
          <w:kern w:val="0"/>
          <w:sz w:val="120"/>
          <w:szCs w:val="120"/>
        </w:rPr>
      </w:pPr>
      <w:r>
        <w:rPr>
          <w:rFonts w:ascii="Times New Roman" w:hAnsi="Times New Roman" w:eastAsia="方正小标宋简体"/>
          <w:color w:val="FF0000"/>
          <w:spacing w:val="227"/>
          <w:w w:val="66"/>
          <w:sz w:val="120"/>
          <w:szCs w:val="1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4930775</wp:posOffset>
                </wp:positionH>
                <wp:positionV relativeFrom="paragraph">
                  <wp:posOffset>233045</wp:posOffset>
                </wp:positionV>
                <wp:extent cx="1087120" cy="1143635"/>
                <wp:effectExtent l="0" t="0" r="0" b="0"/>
                <wp:wrapSquare wrapText="bothSides"/>
                <wp:docPr id="2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flipV="1">
                          <a:off x="0" y="0"/>
                          <a:ext cx="1087120" cy="11436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16E4AB2A">
                            <w:pPr>
                              <w:jc w:val="center"/>
                            </w:pPr>
                            <w:r>
                              <w:rPr>
                                <w:rFonts w:hint="eastAsia" w:ascii="方正小标宋简体" w:eastAsia="方正小标宋简体"/>
                                <w:color w:val="FF0000"/>
                                <w:spacing w:val="40"/>
                                <w:w w:val="50"/>
                                <w:sz w:val="120"/>
                                <w:szCs w:val="120"/>
                              </w:rPr>
                              <w:t>文件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文本框 1" o:spid="_x0000_s1026" o:spt="202" type="#_x0000_t202" style="position:absolute;left:0pt;flip:y;margin-left:388.25pt;margin-top:18.35pt;height:90.05pt;width:85.6pt;mso-wrap-distance-bottom:0pt;mso-wrap-distance-left:9pt;mso-wrap-distance-right:9pt;mso-wrap-distance-top:0pt;z-index:251659264;mso-width-relative:page;mso-height-relative:page;" fillcolor="#FFFFFF" filled="t" stroked="t" coordsize="21600,21600" o:gfxdata="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">
                <v:fill on="t" focussize="0,0"/>
                <v:stroke color="#FFFFFF" joinstyle="miter"/>
                <v:imagedata o:title=""/>
                <o:lock v:ext="edit" aspectratio="f"/>
                <v:textbox>
                  <w:txbxContent>
                    <w:p w14:paraId="16E4AB2A">
                      <w:pPr>
                        <w:jc w:val="center"/>
                      </w:pPr>
                      <w:r>
                        <w:rPr>
                          <w:rFonts w:hint="eastAsia" w:ascii="方正小标宋简体" w:eastAsia="方正小标宋简体"/>
                          <w:color w:val="FF0000"/>
                          <w:spacing w:val="40"/>
                          <w:w w:val="50"/>
                          <w:sz w:val="120"/>
                          <w:szCs w:val="120"/>
                        </w:rPr>
                        <w:t>文件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ascii="Times New Roman" w:hAnsi="Times New Roman" w:eastAsia="方正小标宋简体"/>
          <w:color w:val="FF0000"/>
          <w:spacing w:val="68"/>
          <w:w w:val="50"/>
          <w:sz w:val="120"/>
          <w:szCs w:val="120"/>
        </w:rPr>
        <w:t>如皋市卫生健康委员会</w:t>
      </w:r>
    </w:p>
    <w:p w14:paraId="0FA6C12B">
      <w:pPr>
        <w:overflowPunct w:val="0"/>
        <w:rPr>
          <w:rFonts w:ascii="Times New Roman" w:hAnsi="Times New Roman"/>
        </w:rPr>
      </w:pPr>
    </w:p>
    <w:p w14:paraId="0B4D4B3E">
      <w:pPr>
        <w:widowControl/>
        <w:overflowPunct w:val="0"/>
        <w:autoSpaceDE w:val="0"/>
        <w:autoSpaceDN w:val="0"/>
        <w:adjustRightInd w:val="0"/>
        <w:snapToGrid w:val="0"/>
        <w:spacing w:before="2" w:line="184" w:lineRule="auto"/>
        <w:jc w:val="left"/>
        <w:textAlignment w:val="baseline"/>
        <w:rPr>
          <w:rFonts w:ascii="Times New Roman" w:hAnsi="Times New Roman"/>
        </w:rPr>
      </w:pPr>
      <w:r>
        <w:rPr>
          <w:rFonts w:ascii="Times New Roman" w:hAnsi="Times New Roman" w:eastAsia="方正小标宋简体"/>
          <w:color w:val="FF0000"/>
          <w:spacing w:val="227"/>
          <w:w w:val="66"/>
          <w:sz w:val="120"/>
          <w:szCs w:val="120"/>
        </w:rPr>
        <w:t>如皋市教育局</w:t>
      </w:r>
    </w:p>
    <w:tbl>
      <w:tblPr>
        <w:tblStyle w:val="9"/>
        <w:tblW w:w="9544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44"/>
      </w:tblGrid>
      <w:tr w14:paraId="1A7F5E2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6" w:hRule="atLeast"/>
        </w:trPr>
        <w:tc>
          <w:tcPr>
            <w:tcW w:w="9544" w:type="dxa"/>
            <w:tcBorders>
              <w:bottom w:val="single" w:color="FF0000" w:sz="24" w:space="0"/>
            </w:tcBorders>
            <w:vAlign w:val="center"/>
          </w:tcPr>
          <w:p w14:paraId="2F4C3AFA">
            <w:pPr>
              <w:overflowPunct w:val="0"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eastAsia="仿宋GB2312"/>
                <w:sz w:val="32"/>
                <w:szCs w:val="32"/>
              </w:rPr>
            </w:pPr>
            <w:bookmarkStart w:id="0" w:name="_Hlk48640838"/>
            <w:r>
              <w:rPr>
                <w:rFonts w:ascii="Times New Roman" w:hAnsi="Times New Roman" w:eastAsia="仿宋_GB2312"/>
                <w:sz w:val="32"/>
                <w:szCs w:val="32"/>
                <w:lang w:bidi="ar"/>
              </w:rPr>
              <w:t>皋卫健发</w:t>
            </w:r>
            <w:r>
              <w:rPr>
                <w:rFonts w:ascii="Times New Roman" w:hAnsi="Times New Roman" w:eastAsia="仿宋_GB2312"/>
                <w:spacing w:val="0"/>
                <w:sz w:val="32"/>
                <w:szCs w:val="32"/>
              </w:rPr>
              <w:t>〔20</w:t>
            </w:r>
            <w:r>
              <w:rPr>
                <w:rFonts w:hint="eastAsia" w:ascii="Times New Roman" w:hAnsi="Times New Roman" w:eastAsia="仿宋_GB2312"/>
                <w:spacing w:val="0"/>
                <w:sz w:val="32"/>
                <w:szCs w:val="32"/>
              </w:rPr>
              <w:t>2</w:t>
            </w:r>
            <w:r>
              <w:rPr>
                <w:rFonts w:hint="eastAsia" w:ascii="Times New Roman" w:hAnsi="Times New Roman" w:eastAsia="仿宋_GB2312"/>
                <w:spacing w:val="0"/>
                <w:sz w:val="32"/>
                <w:szCs w:val="32"/>
                <w:lang w:val="en-US" w:eastAsia="zh-CN"/>
              </w:rPr>
              <w:t>5</w:t>
            </w:r>
            <w:r>
              <w:rPr>
                <w:rFonts w:ascii="Times New Roman" w:hAnsi="Times New Roman" w:eastAsia="仿宋_GB2312"/>
                <w:spacing w:val="0"/>
                <w:sz w:val="32"/>
                <w:szCs w:val="32"/>
              </w:rPr>
              <w:t>〕</w:t>
            </w:r>
            <w:r>
              <w:rPr>
                <w:rFonts w:hint="eastAsia" w:ascii="Times New Roman" w:hAnsi="Times New Roman" w:eastAsia="仿宋_GB2312"/>
                <w:spacing w:val="0"/>
                <w:sz w:val="32"/>
                <w:szCs w:val="32"/>
                <w:lang w:val="en-US" w:eastAsia="zh-CN"/>
              </w:rPr>
              <w:t>35</w:t>
            </w:r>
            <w:r>
              <w:rPr>
                <w:rFonts w:ascii="Times New Roman" w:hAnsi="Times New Roman" w:eastAsia="仿宋_GB2312"/>
                <w:sz w:val="32"/>
                <w:szCs w:val="32"/>
                <w:lang w:bidi="ar"/>
              </w:rPr>
              <w:t>号</w:t>
            </w:r>
          </w:p>
        </w:tc>
      </w:tr>
      <w:tr w14:paraId="4045F72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9544" w:type="dxa"/>
            <w:tcBorders>
              <w:top w:val="single" w:color="FF0000" w:sz="24" w:space="0"/>
            </w:tcBorders>
            <w:vAlign w:val="center"/>
          </w:tcPr>
          <w:p w14:paraId="234C46D4">
            <w:pPr>
              <w:overflowPunct w:val="0"/>
              <w:adjustRightInd w:val="0"/>
              <w:snapToGrid w:val="0"/>
              <w:spacing w:line="360" w:lineRule="exact"/>
              <w:rPr>
                <w:rFonts w:ascii="Times New Roman" w:hAnsi="Times New Roman" w:eastAsia="仿宋_GB2312"/>
                <w:sz w:val="32"/>
                <w:szCs w:val="32"/>
                <w:lang w:bidi="ar"/>
              </w:rPr>
            </w:pPr>
          </w:p>
        </w:tc>
      </w:tr>
      <w:bookmarkEnd w:id="0"/>
    </w:tbl>
    <w:p w14:paraId="572664BC">
      <w:pPr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spacing w:line="560" w:lineRule="exact"/>
        <w:jc w:val="center"/>
        <w:textAlignment w:val="auto"/>
        <w:rPr>
          <w:rFonts w:ascii="方正小标宋简体" w:hAnsi="方正小标宋简体" w:eastAsia="方正小标宋简体" w:cs="方正小标宋简体"/>
          <w:color w:val="0000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  <w:t>关于印发如皋市儿童口腔疾病综合干预项目</w:t>
      </w:r>
    </w:p>
    <w:p w14:paraId="76F35F87">
      <w:pPr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spacing w:line="560" w:lineRule="exact"/>
        <w:jc w:val="center"/>
        <w:textAlignment w:val="auto"/>
        <w:rPr>
          <w:rFonts w:ascii="方正小标宋简体" w:hAnsi="方正小标宋简体" w:eastAsia="方正小标宋简体" w:cs="方正小标宋简体"/>
          <w:color w:val="0000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  <w:t>实施方案（202</w:t>
      </w:r>
      <w:r>
        <w:rPr>
          <w:rFonts w:ascii="方正小标宋简体" w:hAnsi="方正小标宋简体" w:eastAsia="方正小标宋简体" w:cs="方正小标宋简体"/>
          <w:color w:val="000000"/>
          <w:sz w:val="44"/>
          <w:szCs w:val="44"/>
        </w:rPr>
        <w:t>5</w:t>
      </w: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  <w:t>年版）的通知</w:t>
      </w:r>
    </w:p>
    <w:p w14:paraId="71A4B913">
      <w:pPr>
        <w:pStyle w:val="2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before="0" w:after="0" w:line="560" w:lineRule="exact"/>
        <w:jc w:val="center"/>
        <w:textAlignment w:val="auto"/>
        <w:rPr>
          <w:rFonts w:eastAsia="方正小标宋简体"/>
          <w:color w:val="000000"/>
        </w:rPr>
      </w:pPr>
    </w:p>
    <w:p w14:paraId="575CF1A1">
      <w:pPr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spacing w:line="560" w:lineRule="exact"/>
        <w:textAlignment w:val="auto"/>
        <w:rPr>
          <w:rFonts w:ascii="Times New Roman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各</w:t>
      </w:r>
      <w:r>
        <w:rPr>
          <w:rFonts w:hint="eastAsia" w:ascii="Times New Roman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相关</w:t>
      </w:r>
      <w:r>
        <w:rPr>
          <w:rFonts w:ascii="Times New Roman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医疗卫生机构、教育管理中心</w:t>
      </w:r>
      <w:r>
        <w:rPr>
          <w:rFonts w:hint="eastAsia" w:ascii="Times New Roman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、</w:t>
      </w:r>
      <w:r>
        <w:rPr>
          <w:rFonts w:ascii="Times New Roman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小学、托幼机构：</w:t>
      </w:r>
    </w:p>
    <w:p w14:paraId="23AEA4B4">
      <w:pPr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spacing w:line="560" w:lineRule="exact"/>
        <w:ind w:firstLine="640" w:firstLineChars="200"/>
        <w:textAlignment w:val="auto"/>
        <w:rPr>
          <w:rFonts w:ascii="Times New Roman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为加强我市儿童口腔</w:t>
      </w:r>
      <w:r>
        <w:rPr>
          <w:rFonts w:hint="eastAsia" w:ascii="Times New Roman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疾病综合防治</w:t>
      </w:r>
      <w:r>
        <w:rPr>
          <w:rFonts w:ascii="Times New Roman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Times New Roman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促进儿童口腔健康，推动</w:t>
      </w:r>
      <w:r>
        <w:rPr>
          <w:rFonts w:hint="eastAsia" w:ascii="Times New Roman" w:hAnsi="Times New Roman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健康如皋</w:t>
      </w:r>
      <w:r>
        <w:rPr>
          <w:rFonts w:ascii="Times New Roman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建设工作有序开展，</w:t>
      </w:r>
      <w:r>
        <w:rPr>
          <w:rFonts w:hint="eastAsia" w:ascii="Times New Roman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根据《南通市儿童口腔疾病综合干预项目实施方案（202</w:t>
      </w:r>
      <w:r>
        <w:rPr>
          <w:rFonts w:ascii="Times New Roman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5</w:t>
      </w:r>
      <w:r>
        <w:rPr>
          <w:rFonts w:hint="eastAsia" w:ascii="Times New Roman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年版）》</w:t>
      </w:r>
      <w:r>
        <w:rPr>
          <w:rFonts w:hint="eastAsia" w:ascii="Times New Roman" w:hAnsi="Times New Roman" w:eastAsia="仿宋_GB2312"/>
          <w:color w:val="000000" w:themeColor="text1"/>
          <w:sz w:val="32"/>
          <w:szCs w:val="32"/>
          <w:lang w:bidi="ar"/>
          <w14:textFill>
            <w14:solidFill>
              <w14:schemeClr w14:val="tx1"/>
            </w14:solidFill>
          </w14:textFill>
        </w:rPr>
        <w:t>文件</w:t>
      </w:r>
      <w:r>
        <w:rPr>
          <w:rFonts w:hint="eastAsia" w:ascii="Times New Roman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要求，结合我市实际，市卫健委联合市教育局研究制定了《如皋市儿童口腔疾病干预项目实施方案（202</w:t>
      </w:r>
      <w:r>
        <w:rPr>
          <w:rFonts w:ascii="Times New Roman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5</w:t>
      </w:r>
      <w:r>
        <w:rPr>
          <w:rFonts w:hint="eastAsia" w:ascii="Times New Roman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年版）》，现印发给你们，请按照要求抓好落实，切实提升全市儿童口腔健康水平。</w:t>
      </w:r>
    </w:p>
    <w:p w14:paraId="7DF1407D">
      <w:pPr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spacing w:line="560" w:lineRule="exact"/>
        <w:ind w:firstLine="640" w:firstLineChars="200"/>
        <w:textAlignment w:val="auto"/>
        <w:rPr>
          <w:rFonts w:ascii="Times New Roman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 w14:paraId="2B43F6F8">
      <w:pPr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spacing w:line="560" w:lineRule="exact"/>
        <w:ind w:firstLine="640" w:firstLineChars="200"/>
        <w:textAlignment w:val="auto"/>
        <w:rPr>
          <w:rFonts w:ascii="Times New Roman" w:hAnsi="Times New Roman" w:eastAsia="仿宋_GB2312"/>
          <w:color w:val="000000" w:themeColor="text1"/>
          <w:spacing w:val="-1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Times New Roman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：</w:t>
      </w:r>
      <w:r>
        <w:rPr>
          <w:rFonts w:ascii="Times New Roman" w:hAnsi="Times New Roman" w:eastAsia="仿宋_GB2312"/>
          <w:color w:val="000000" w:themeColor="text1"/>
          <w:spacing w:val="-11"/>
          <w:sz w:val="32"/>
          <w:szCs w:val="32"/>
          <w14:textFill>
            <w14:solidFill>
              <w14:schemeClr w14:val="tx1"/>
            </w14:solidFill>
          </w14:textFill>
        </w:rPr>
        <w:t>如皋市</w:t>
      </w:r>
      <w:r>
        <w:rPr>
          <w:rFonts w:hint="eastAsia" w:ascii="Times New Roman" w:hAnsi="Times New Roman" w:eastAsia="仿宋_GB2312"/>
          <w:color w:val="000000" w:themeColor="text1"/>
          <w:spacing w:val="-11"/>
          <w:sz w:val="32"/>
          <w:szCs w:val="32"/>
          <w14:textFill>
            <w14:solidFill>
              <w14:schemeClr w14:val="tx1"/>
            </w14:solidFill>
          </w14:textFill>
        </w:rPr>
        <w:t>儿童</w:t>
      </w:r>
      <w:r>
        <w:rPr>
          <w:rFonts w:ascii="Times New Roman" w:hAnsi="Times New Roman" w:eastAsia="仿宋_GB2312"/>
          <w:color w:val="000000" w:themeColor="text1"/>
          <w:spacing w:val="-11"/>
          <w:sz w:val="32"/>
          <w:szCs w:val="32"/>
          <w14:textFill>
            <w14:solidFill>
              <w14:schemeClr w14:val="tx1"/>
            </w14:solidFill>
          </w14:textFill>
        </w:rPr>
        <w:t>口腔疾病</w:t>
      </w:r>
      <w:r>
        <w:rPr>
          <w:rFonts w:hint="eastAsia" w:ascii="Times New Roman" w:hAnsi="Times New Roman" w:eastAsia="仿宋_GB2312"/>
          <w:color w:val="000000" w:themeColor="text1"/>
          <w:spacing w:val="-11"/>
          <w:sz w:val="32"/>
          <w:szCs w:val="32"/>
          <w14:textFill>
            <w14:solidFill>
              <w14:schemeClr w14:val="tx1"/>
            </w14:solidFill>
          </w14:textFill>
        </w:rPr>
        <w:t>综合</w:t>
      </w:r>
      <w:r>
        <w:rPr>
          <w:rFonts w:ascii="Times New Roman" w:hAnsi="Times New Roman" w:eastAsia="仿宋_GB2312"/>
          <w:color w:val="000000" w:themeColor="text1"/>
          <w:spacing w:val="-11"/>
          <w:sz w:val="32"/>
          <w:szCs w:val="32"/>
          <w14:textFill>
            <w14:solidFill>
              <w14:schemeClr w14:val="tx1"/>
            </w14:solidFill>
          </w14:textFill>
        </w:rPr>
        <w:t>干预项目实施方案</w:t>
      </w:r>
      <w:r>
        <w:rPr>
          <w:rFonts w:hint="eastAsia" w:ascii="Times New Roman" w:hAnsi="Times New Roman" w:eastAsia="仿宋_GB2312"/>
          <w:color w:val="000000" w:themeColor="text1"/>
          <w:spacing w:val="-11"/>
          <w:sz w:val="32"/>
          <w:szCs w:val="32"/>
          <w14:textFill>
            <w14:solidFill>
              <w14:schemeClr w14:val="tx1"/>
            </w14:solidFill>
          </w14:textFill>
        </w:rPr>
        <w:t>（202</w:t>
      </w:r>
      <w:r>
        <w:rPr>
          <w:rFonts w:ascii="Times New Roman" w:hAnsi="Times New Roman" w:eastAsia="仿宋_GB2312"/>
          <w:color w:val="000000" w:themeColor="text1"/>
          <w:spacing w:val="-11"/>
          <w:sz w:val="32"/>
          <w:szCs w:val="32"/>
          <w14:textFill>
            <w14:solidFill>
              <w14:schemeClr w14:val="tx1"/>
            </w14:solidFill>
          </w14:textFill>
        </w:rPr>
        <w:t>5</w:t>
      </w:r>
      <w:r>
        <w:rPr>
          <w:rFonts w:hint="eastAsia" w:ascii="Times New Roman" w:hAnsi="Times New Roman" w:eastAsia="仿宋_GB2312"/>
          <w:color w:val="000000" w:themeColor="text1"/>
          <w:spacing w:val="-11"/>
          <w:sz w:val="32"/>
          <w:szCs w:val="32"/>
          <w14:textFill>
            <w14:solidFill>
              <w14:schemeClr w14:val="tx1"/>
            </w14:solidFill>
          </w14:textFill>
        </w:rPr>
        <w:t>年版）</w:t>
      </w:r>
    </w:p>
    <w:p w14:paraId="69664FCC">
      <w:pPr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spacing w:line="560" w:lineRule="exact"/>
        <w:ind w:firstLine="640" w:firstLineChars="200"/>
        <w:textAlignment w:val="auto"/>
        <w:rPr>
          <w:rFonts w:ascii="Times New Roman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 w14:paraId="15103ECC">
      <w:pPr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spacing w:line="560" w:lineRule="exact"/>
        <w:ind w:firstLine="640" w:firstLineChars="200"/>
        <w:textAlignment w:val="auto"/>
        <w:rPr>
          <w:rFonts w:ascii="Times New Roman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如皋市卫生健康委员会 </w:t>
      </w:r>
      <w:r>
        <w:rPr>
          <w:rFonts w:hint="eastAsia" w:ascii="Times New Roman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     </w:t>
      </w:r>
      <w:r>
        <w:rPr>
          <w:rFonts w:hint="eastAsia" w:ascii="Times New Roman" w:hAnsi="Times New Roman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Times New Roman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ascii="Times New Roman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如</w:t>
      </w:r>
      <w:r>
        <w:rPr>
          <w:rFonts w:hint="eastAsia" w:ascii="Times New Roman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Times New Roman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皋</w:t>
      </w:r>
      <w:r>
        <w:rPr>
          <w:rFonts w:hint="eastAsia" w:ascii="Times New Roman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Times New Roman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市</w:t>
      </w:r>
      <w:r>
        <w:rPr>
          <w:rFonts w:hint="eastAsia" w:ascii="Times New Roman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Times New Roman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教</w:t>
      </w:r>
      <w:r>
        <w:rPr>
          <w:rFonts w:hint="eastAsia" w:ascii="Times New Roman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Times New Roman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育</w:t>
      </w:r>
      <w:r>
        <w:rPr>
          <w:rFonts w:hint="eastAsia" w:ascii="Times New Roman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Times New Roman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局</w:t>
      </w:r>
    </w:p>
    <w:p w14:paraId="2B45CAFD">
      <w:pPr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spacing w:line="560" w:lineRule="exact"/>
        <w:ind w:firstLine="5760" w:firstLineChars="1800"/>
        <w:textAlignment w:val="auto"/>
        <w:rPr>
          <w:rFonts w:ascii="Times New Roman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2025年</w:t>
      </w:r>
      <w:r>
        <w:rPr>
          <w:rFonts w:hint="eastAsia" w:ascii="Times New Roman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4</w:t>
      </w:r>
      <w:r>
        <w:rPr>
          <w:rFonts w:ascii="Times New Roman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Times New Roman" w:hAnsi="Times New Roman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30</w:t>
      </w:r>
      <w:r>
        <w:rPr>
          <w:rFonts w:ascii="Times New Roman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日</w:t>
      </w:r>
    </w:p>
    <w:p w14:paraId="3A6ADFF8">
      <w:pPr>
        <w:widowControl/>
        <w:jc w:val="center"/>
        <w:rPr>
          <w:rFonts w:ascii="Times New Roman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br w:type="page"/>
      </w:r>
    </w:p>
    <w:p w14:paraId="38B84DB3">
      <w:pPr>
        <w:keepNext w:val="0"/>
        <w:keepLines w:val="0"/>
        <w:pageBreakBefore w:val="0"/>
        <w:widowControl/>
        <w:kinsoku/>
        <w:wordWrap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Times New Roman" w:hAnsi="Times New Roman" w:eastAsia="方正小标宋简体" w:cs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</w:p>
    <w:p w14:paraId="2F890C33">
      <w:pPr>
        <w:keepNext w:val="0"/>
        <w:keepLines w:val="0"/>
        <w:pageBreakBefore w:val="0"/>
        <w:widowControl/>
        <w:kinsoku/>
        <w:wordWrap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ascii="Times New Roman" w:hAnsi="Times New Roman" w:eastAsia="方正小标宋简体" w:cs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小标宋简体" w:cs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如皋市儿童口腔疾病综合干预项目实施方案（202</w:t>
      </w:r>
      <w:r>
        <w:rPr>
          <w:rFonts w:ascii="Times New Roman" w:hAnsi="Times New Roman" w:eastAsia="方正小标宋简体" w:cs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5</w:t>
      </w:r>
      <w:r>
        <w:rPr>
          <w:rFonts w:hint="eastAsia" w:ascii="Times New Roman" w:hAnsi="Times New Roman" w:eastAsia="方正小标宋简体" w:cs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年版）</w:t>
      </w:r>
    </w:p>
    <w:p w14:paraId="37A5D486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ascii="Times New Roman" w:hAnsi="Times New Roman" w:eastAsia="方正小标宋简体" w:cs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bookmarkStart w:id="1" w:name="_GoBack"/>
      <w:bookmarkEnd w:id="1"/>
    </w:p>
    <w:p w14:paraId="6FD6E3E8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ascii="Times New Roman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为贯彻落实《“健康中国2</w:t>
      </w:r>
      <w:r>
        <w:rPr>
          <w:rFonts w:ascii="Times New Roman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030</w:t>
      </w:r>
      <w:r>
        <w:rPr>
          <w:rFonts w:hint="eastAsia" w:ascii="Times New Roman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”规划纲要》《“健康江苏2030”规划纲要》《健康口腔行动方案（2</w:t>
      </w:r>
      <w:r>
        <w:rPr>
          <w:rFonts w:ascii="Times New Roman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019</w:t>
      </w:r>
      <w:r>
        <w:rPr>
          <w:rFonts w:hint="eastAsia" w:ascii="Times New Roman" w:hAnsi="Times New Roman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—</w:t>
      </w:r>
      <w:r>
        <w:rPr>
          <w:rFonts w:ascii="Times New Roman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2025</w:t>
      </w:r>
      <w:r>
        <w:rPr>
          <w:rFonts w:hint="eastAsia" w:ascii="Times New Roman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年）》等文件精神，准确掌握我市学龄儿童口腔健康状况，全面推进全市儿童口腔疾病综合防治工作，切实提升儿童口腔健康水平，制定本实施方案。</w:t>
      </w:r>
    </w:p>
    <w:p w14:paraId="21F22335">
      <w:pPr>
        <w:pStyle w:val="24"/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40" w:lineRule="exact"/>
        <w:ind w:firstLine="640"/>
        <w:textAlignment w:val="auto"/>
        <w:rPr>
          <w:rFonts w:hint="eastAsia" w:ascii="Times New Roman" w:hAnsi="Times New Roman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一、项目目标</w:t>
      </w:r>
    </w:p>
    <w:p w14:paraId="613D7FB2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ascii="Times New Roman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（一）掌握我市学龄儿童口腔健康状况及影响因素，监测龋病、牙周疾病等口腔常见疾病患病状况。</w:t>
      </w:r>
    </w:p>
    <w:p w14:paraId="0F58A888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ascii="Times New Roman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（二）掌握我市学龄儿童口腔卫生保健认知、态度和行为状况。</w:t>
      </w:r>
    </w:p>
    <w:p w14:paraId="57462D37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ascii="Times New Roman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（三）分析我市学龄儿童口腔健康状况和口腔卫生保健认知、态度和行为变化趋势，探索变化规律和影响因素。</w:t>
      </w:r>
    </w:p>
    <w:p w14:paraId="3A417F95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ascii="Times New Roman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（四）开展学龄儿童口腔健康教育等相关口腔健康促进项目并进行监测。</w:t>
      </w:r>
    </w:p>
    <w:p w14:paraId="7DC8407B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ascii="Times New Roman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（五）开展学龄儿童窝沟封闭和局部用氟防龋等相关干预项目并进行监测。</w:t>
      </w:r>
    </w:p>
    <w:p w14:paraId="065EA839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Times New Roman" w:hAnsi="Times New Roman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二、项目范围和内容</w:t>
      </w:r>
    </w:p>
    <w:p w14:paraId="786837CB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Times New Roman" w:hAnsi="Times New Roman" w:eastAsia="楷体_GB2312" w:cs="楷体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楷体_GB2312" w:cs="楷体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（一）项目范围</w:t>
      </w:r>
    </w:p>
    <w:p w14:paraId="51316393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ascii="Times New Roman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1.儿童窝沟封闭：如皋师范学校附属小学、安定小学、李渔小学二年级在校学生；</w:t>
      </w:r>
    </w:p>
    <w:p w14:paraId="6EC5EFEB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ascii="Times New Roman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2.局部用氟防龋：如皋师范学校附属小学幼儿园、皋南幼儿园、光华幼儿园、健康幼儿园、实验幼儿园、外国语幼儿园、安定幼儿园、城东实验和东皋幼儿园</w:t>
      </w:r>
      <w:r>
        <w:rPr>
          <w:rFonts w:hint="eastAsia" w:ascii="Times New Roman" w:hAnsi="Times New Roman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等9家幼儿园</w:t>
      </w:r>
      <w:r>
        <w:rPr>
          <w:rFonts w:hint="eastAsia" w:ascii="Times New Roman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小班儿童。</w:t>
      </w:r>
    </w:p>
    <w:p w14:paraId="3A91EB54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Times New Roman" w:hAnsi="Times New Roman" w:eastAsia="楷体_GB2312" w:cs="楷体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楷体_GB2312" w:cs="楷体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（二）项目内容</w:t>
      </w:r>
    </w:p>
    <w:p w14:paraId="0AFDD128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Times New Roman" w:hAnsi="Times New Roman" w:eastAsia="宋体" w:cs="宋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宋体" w:cs="宋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1.口腔健康问卷调查</w:t>
      </w:r>
    </w:p>
    <w:p w14:paraId="464DA4A0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ascii="Times New Roman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（1）调查对象及问卷收集方法</w:t>
      </w:r>
    </w:p>
    <w:p w14:paraId="2BB177B3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ascii="Times New Roman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学龄儿童口腔健康问卷调查由学校老师、校医和问卷调查员共同组织。问卷调查员在教室统一说明后逐题引导。以学生集体自填答卷的方法采集数据。</w:t>
      </w:r>
    </w:p>
    <w:p w14:paraId="5249E53E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ascii="Times New Roman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（2）问卷调查内容</w:t>
      </w:r>
    </w:p>
    <w:p w14:paraId="77EC65D8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ascii="Times New Roman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调查内容主要包括：口腔疾病相关危险因素，口腔健康认知、态度和行为，口腔疾病罹患经历等。</w:t>
      </w:r>
    </w:p>
    <w:p w14:paraId="430C0601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Times New Roman" w:hAnsi="Times New Roman" w:eastAsia="宋体" w:cs="宋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宋体" w:cs="宋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2.口腔健康检查</w:t>
      </w:r>
    </w:p>
    <w:p w14:paraId="3F4F3BFD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ascii="Times New Roman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对所有受检者进行牙列状况检查，内容包括龋病、牙缺失以及治疗情况。检查应在人工光源下，以视诊与探诊相结合的方式进行。检查器械包括平面口镜和C</w:t>
      </w:r>
      <w:r>
        <w:rPr>
          <w:rFonts w:ascii="Times New Roman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PI</w:t>
      </w:r>
      <w:r>
        <w:rPr>
          <w:rFonts w:hint="eastAsia" w:ascii="Times New Roman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探针，必要时可借助棉签擦去软垢。需检查全口牙齿，按照标准计分。</w:t>
      </w:r>
    </w:p>
    <w:p w14:paraId="5DBD3AC4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Times New Roman" w:hAnsi="Times New Roman" w:eastAsia="宋体" w:cs="宋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宋体" w:cs="宋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3.口腔健康教育</w:t>
      </w:r>
    </w:p>
    <w:p w14:paraId="3F845396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ascii="Times New Roman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卫健、教育部门相互配合，深入开展口腔健康教育，对象包括学龄儿童、家长和学校老师。通过宣传，动员引导适龄儿童自觉接受口腔健康检查，鼓励患有龋病的儿童及早接受充填治疗，提高目标人群的健康知识和自我保健意识，倡导养成良好的口腔卫生习惯，营造全社会关注口腔卫生和儿童口腔健康的社会支持氛围。</w:t>
      </w:r>
    </w:p>
    <w:p w14:paraId="528767ED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ascii="Times New Roman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宣传可采取投放广播电视公益广告、发布微信视频号等新媒体宣教图文视频、制作口腔健康专题节目、发放健康教育材料、张贴宣传画、制作宣传展板、举办口腔卫生讲座等，努力做到多样化、多频次，并充分利用“全国爱牙日”“六一儿童节”等宣传日和节假日掀起宣传高潮。针对学生、家长和老师，要安排专门时间，开展面对面专题宣传教育，并与项目其他措施做好衔接，逐步探索建立学校口腔健康宣传教育的长效机制。</w:t>
      </w:r>
    </w:p>
    <w:p w14:paraId="2FAABF0C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Times New Roman" w:hAnsi="Times New Roman" w:eastAsia="宋体" w:cs="宋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宋体" w:cs="宋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4.适龄儿童口腔干预项目</w:t>
      </w:r>
    </w:p>
    <w:p w14:paraId="447001EE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ascii="Times New Roman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遴选如城街道社区卫生服务中心承担此次干预项目。按照“自愿参与”原则，</w:t>
      </w:r>
      <w:r>
        <w:rPr>
          <w:rFonts w:hint="eastAsia" w:ascii="Times New Roman" w:hAnsi="Times New Roman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家长签署《知情同意书》后组织实施。所有资料</w:t>
      </w:r>
      <w:r>
        <w:rPr>
          <w:rFonts w:hint="eastAsia" w:ascii="Times New Roman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在</w:t>
      </w:r>
      <w:r>
        <w:rPr>
          <w:rFonts w:hint="eastAsia" w:ascii="Times New Roman" w:hAnsi="Times New Roman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项目</w:t>
      </w:r>
      <w:r>
        <w:rPr>
          <w:rFonts w:hint="eastAsia" w:ascii="Times New Roman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承担机构留存备案，时间不少于3年。</w:t>
      </w:r>
    </w:p>
    <w:p w14:paraId="1806E7BF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Times New Roman" w:hAnsi="Times New Roman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三、项目组织实施</w:t>
      </w:r>
    </w:p>
    <w:p w14:paraId="5BF54D85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Times New Roman" w:hAnsi="Times New Roman" w:eastAsia="楷体_GB2312" w:cs="楷体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楷体_GB2312" w:cs="楷体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（一）各级机构职责</w:t>
      </w:r>
    </w:p>
    <w:p w14:paraId="6CABDDED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ascii="Times New Roman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儿童口腔疾病综合干预项目是一项系统工程，涉及多个部门和单位，各部门、各单位要认真组织，各司其职，确保项目任务有效落实。卫生健康部门要履行牵头抓总职能，负责项目的组织、实施和协调，开展宣传发动和健康教育，做好资料收集、统计、分析和上报，加强人员、技术、设备等方面保障，并督促有关单位落实好项目任务。教育部门负责组织学生配合卫生健康部门对适龄学生做好宣传动员、登记造册、健康教育、口腔检查等工作。</w:t>
      </w:r>
    </w:p>
    <w:p w14:paraId="186DBB8B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Times New Roman" w:hAnsi="Times New Roman" w:eastAsia="楷体_GB2312" w:cs="楷体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楷体_GB2312" w:cs="楷体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（二）经费与物资</w:t>
      </w:r>
    </w:p>
    <w:p w14:paraId="44C09372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ascii="Times New Roman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经费来源：《关于提前下达2</w:t>
      </w:r>
      <w:r>
        <w:rPr>
          <w:rFonts w:ascii="Times New Roman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025</w:t>
      </w:r>
      <w:r>
        <w:rPr>
          <w:rFonts w:hint="eastAsia" w:ascii="Times New Roman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年重大公共卫生服务中央补助资金预算的通知》（苏财社</w:t>
      </w:r>
      <w:r>
        <w:rPr>
          <w:rFonts w:hint="eastAsia" w:ascii="Times New Roman" w:hAnsi="Times New Roman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〔202</w:t>
      </w:r>
      <w:r>
        <w:rPr>
          <w:rFonts w:hint="eastAsia" w:ascii="Times New Roman" w:hAnsi="Times New Roman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rFonts w:hint="eastAsia" w:ascii="Times New Roman" w:hAnsi="Times New Roman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〕</w:t>
      </w:r>
      <w:r>
        <w:rPr>
          <w:rFonts w:ascii="Times New Roman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120</w:t>
      </w:r>
      <w:r>
        <w:rPr>
          <w:rFonts w:hint="eastAsia" w:ascii="Times New Roman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号）、本级财政、基本公卫经费。经费主要用于：培训、现场调查检测设备、耗材、信息采集工具、现场调查信息收集平台建立、现场调查协调和组织实施等；口腔检查表和问卷印刷、质量控制；数据录入和分析等。</w:t>
      </w:r>
    </w:p>
    <w:p w14:paraId="2AE54EFD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Times New Roman" w:hAnsi="Times New Roman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四、时间安排</w:t>
      </w:r>
    </w:p>
    <w:p w14:paraId="3A13F9D5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ascii="Times New Roman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</w:t>
      </w:r>
      <w:r>
        <w:rPr>
          <w:rFonts w:ascii="Times New Roman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.</w:t>
      </w:r>
      <w:r>
        <w:rPr>
          <w:rFonts w:hint="eastAsia" w:ascii="Times New Roman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准备阶段（4月）：制定项目方案、队伍组建、物资准备、宣传动员；</w:t>
      </w:r>
    </w:p>
    <w:p w14:paraId="2B642384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ascii="Times New Roman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</w:t>
      </w:r>
      <w:r>
        <w:rPr>
          <w:rFonts w:ascii="Times New Roman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.</w:t>
      </w:r>
      <w:r>
        <w:rPr>
          <w:rFonts w:hint="eastAsia" w:ascii="Times New Roman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实施阶段（5</w:t>
      </w:r>
      <w:r>
        <w:rPr>
          <w:rFonts w:ascii="Times New Roman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-10</w:t>
      </w:r>
      <w:r>
        <w:rPr>
          <w:rFonts w:hint="eastAsia" w:ascii="Times New Roman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月）：业务人员培训、科普宣传、口腔筛查、干预治疗；</w:t>
      </w:r>
    </w:p>
    <w:p w14:paraId="3BB34F34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ascii="Times New Roman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3</w:t>
      </w:r>
      <w:r>
        <w:rPr>
          <w:rFonts w:ascii="Times New Roman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.</w:t>
      </w:r>
      <w:r>
        <w:rPr>
          <w:rFonts w:hint="eastAsia" w:ascii="Times New Roman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总结阶段（1</w:t>
      </w:r>
      <w:r>
        <w:rPr>
          <w:rFonts w:ascii="Times New Roman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Times New Roman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月）：资料整理、数据录入、质量控制、总结评估。</w:t>
      </w:r>
    </w:p>
    <w:p w14:paraId="68F245F8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Times New Roman" w:hAnsi="Times New Roman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五、项目督导评估</w:t>
      </w:r>
    </w:p>
    <w:p w14:paraId="31733142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ascii="Times New Roman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如皋市疾病预防控制中心慢性非传染性疾病防治科（健康教育与健康促进科）承担项目的组织、部署、培训、质控等管理工作，加强过程督导和年度考核，考核结果作为经费发放依据。</w:t>
      </w:r>
    </w:p>
    <w:p w14:paraId="2B35759D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ascii="Times New Roman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市卫生健康委委托口腔疾病防治指导中心负责对项目实施过程、实施效果进行督导、评估和考核，确保专款专用，充分发挥项目资金的使用效益，支持项目工作顺利开展；对项目单位资质进行严格遴选，</w:t>
      </w:r>
      <w:r>
        <w:rPr>
          <w:rFonts w:hint="eastAsia" w:ascii="Times New Roman" w:hAnsi="Times New Roman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遴选单位要确保参与项目人员资质和数量，并</w:t>
      </w:r>
      <w:r>
        <w:rPr>
          <w:rFonts w:hint="eastAsia" w:ascii="Times New Roman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按照要求组织人员参加省级或市级培训，杜绝未参加培训或培训不合格人员进行技术操作；项目承担单位按照项目要求时间节点，及时收集、整理、统计和上报项目数据。市卫生健康委适时督导通报各单位工作开展情况，及时发现和解决项目开展过程中存在的问题，推动项目工作扎实有效开展。</w:t>
      </w:r>
    </w:p>
    <w:p w14:paraId="0BE87C7B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ascii="Times New Roman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为确保儿童口腔疾病干预项目规范、有序实施，口腔疾病防治指导中心在项目执行过程中，如遇以下情形，须及时向卫生健康委汇报，经批准后可调整</w:t>
      </w:r>
      <w:r>
        <w:rPr>
          <w:rFonts w:hint="eastAsia" w:ascii="Times New Roman" w:hAnsi="Times New Roman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方案</w:t>
      </w:r>
      <w:r>
        <w:rPr>
          <w:rFonts w:hint="eastAsia" w:ascii="Times New Roman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或</w:t>
      </w:r>
      <w:r>
        <w:rPr>
          <w:rFonts w:hint="eastAsia" w:ascii="Times New Roman" w:hAnsi="Times New Roman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列出新的</w:t>
      </w:r>
      <w:r>
        <w:rPr>
          <w:rFonts w:hint="eastAsia" w:ascii="Times New Roman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干预措施：</w:t>
      </w:r>
    </w:p>
    <w:p w14:paraId="384BE352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ascii="Times New Roman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楷体_GB2312" w:cs="楷体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（一）项目进度滞后：</w:t>
      </w:r>
      <w:r>
        <w:rPr>
          <w:rFonts w:hint="eastAsia" w:ascii="Times New Roman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项目时间与进度需严格匹配，</w:t>
      </w:r>
      <w:r>
        <w:rPr>
          <w:rFonts w:hint="eastAsia" w:ascii="Times New Roman" w:hAnsi="Times New Roman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按序时进度</w:t>
      </w:r>
      <w:r>
        <w:rPr>
          <w:rFonts w:hint="eastAsia" w:ascii="Times New Roman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，确保项目实施进度符合既定计划。若出现时间与任务进度失衡的情况，应及时汇报干预。</w:t>
      </w:r>
    </w:p>
    <w:p w14:paraId="5FA8E043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ascii="Times New Roman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楷体_GB2312" w:cs="楷体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（二）工作质量不达标：</w:t>
      </w:r>
      <w:r>
        <w:rPr>
          <w:rFonts w:hint="eastAsia" w:ascii="Times New Roman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如发现口腔健康检查、窝沟封闭、局部用氟等干预措施未按相关技术规范执行，或关键指标（如封闭剂保留率等）未达标准，须立即暂停相关服务，查明原因并报卫健委，待整改验收合格后方可继续。</w:t>
      </w:r>
    </w:p>
    <w:p w14:paraId="3B2B9380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ascii="Times New Roman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楷体_GB2312" w:cs="楷体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（三）服务态度问题：</w:t>
      </w:r>
      <w:r>
        <w:rPr>
          <w:rFonts w:hint="eastAsia" w:ascii="Times New Roman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医护人员应始终保持优质服务态度，遵循专业、耐心、细致的服务准则，使用文明规范用语，主动解答儿童及家长疑问。若出现服务态度不佳、沟通方式不当等问题，须汇报后采取干预措施。</w:t>
      </w:r>
    </w:p>
    <w:p w14:paraId="1469B993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ascii="Times New Roman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楷体_GB2312" w:cs="楷体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（四）引发负面舆情或投诉：</w:t>
      </w:r>
      <w:r>
        <w:rPr>
          <w:rFonts w:hint="eastAsia" w:ascii="Times New Roman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若因项目执行不当导致群体性不良反应、媒体曝光或</w:t>
      </w:r>
      <w:r>
        <w:rPr>
          <w:rFonts w:ascii="Times New Roman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12345</w:t>
      </w:r>
      <w:r>
        <w:rPr>
          <w:rFonts w:hint="eastAsia" w:ascii="Times New Roman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热线投诉等情况，须立即启动应急预案，同时向卫健委专题汇报，待调查处置完毕并获批准后，方可调整后续干预措施。</w:t>
      </w:r>
    </w:p>
    <w:sectPr>
      <w:headerReference r:id="rId4" w:type="first"/>
      <w:footerReference r:id="rId6" w:type="first"/>
      <w:headerReference r:id="rId3" w:type="default"/>
      <w:footerReference r:id="rId5" w:type="default"/>
      <w:pgSz w:w="11906" w:h="16838"/>
      <w:pgMar w:top="1814" w:right="1531" w:bottom="1984" w:left="1531" w:header="720" w:footer="1474" w:gutter="0"/>
      <w:pgNumType w:fmt="numberInDash"/>
      <w:cols w:space="72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GB2312">
    <w:altName w:val="宋体"/>
    <w:panose1 w:val="00000000000000000000"/>
    <w:charset w:val="86"/>
    <w:family w:val="roman"/>
    <w:pitch w:val="default"/>
    <w:sig w:usb0="00000000" w:usb1="00000000" w:usb2="00000000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65D70AD">
    <w:pPr>
      <w:pStyle w:val="7"/>
      <w:jc w:val="right"/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445135" cy="230505"/>
              <wp:effectExtent l="4445" t="4445" r="0" b="3175"/>
              <wp:wrapNone/>
              <wp:docPr id="1" name="文本框 410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45135" cy="2305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52BF86A">
                          <w:pPr>
                            <w:pStyle w:val="7"/>
                            <w:jc w:val="right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instrText xml:space="preserve"> PAGE   \* MERGEFORMAT </w:instrTex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  <w:lang w:val="zh-CN"/>
                            </w:rPr>
                            <w:t>-</w: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t xml:space="preserve"> 13 -</w: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4105" o:spid="_x0000_s1026" o:spt="202" type="#_x0000_t202" style="position:absolute;left:0pt;margin-top:0pt;height:18.15pt;width:35.05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452BF86A">
                    <w:pPr>
                      <w:pStyle w:val="7"/>
                      <w:jc w:val="right"/>
                      <w:rPr>
                        <w:sz w:val="28"/>
                        <w:szCs w:val="28"/>
                      </w:rPr>
                    </w:pP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instrText xml:space="preserve"> PAGE   \* MERGEFORMAT </w:instrTex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/>
                        <w:sz w:val="28"/>
                        <w:szCs w:val="28"/>
                        <w:lang w:val="zh-CN"/>
                      </w:rPr>
                      <w:t>-</w: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t xml:space="preserve"> 13 -</w: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8F0CAF1">
    <w:pPr>
      <w:pStyle w:val="7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14DD1AC">
                          <w:pPr>
                            <w:pStyle w:val="7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- 1 -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GA044yAgAAYQQAAA4AAABkcnMvZTJvRG9jLnhtbK1UzY7TMBC+I/EO&#10;lu80aStW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pm/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4YDTjj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514DD1AC">
                    <w:pPr>
                      <w:pStyle w:val="7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- 1 -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0399515">
    <w:pPr>
      <w:pStyle w:val="8"/>
      <w:pBdr>
        <w:bottom w:val="none" w:color="auto" w:sz="0" w:space="1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10D9962">
    <w:pPr>
      <w:pStyle w:val="8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19"/>
  <w:drawingGridHorizontalSpacing w:val="105"/>
  <w:drawingGridVerticalSpacing w:val="-7946"/>
  <w:displayHorizontalDrawingGridEvery w:val="2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mE2MzY3NTI4OTg0YWI3ZDk1NzMxZDY5ODA2M2RmY2YifQ=="/>
  </w:docVars>
  <w:rsids>
    <w:rsidRoot w:val="008D2802"/>
    <w:rsid w:val="000033D5"/>
    <w:rsid w:val="000236D3"/>
    <w:rsid w:val="0002402A"/>
    <w:rsid w:val="00025B27"/>
    <w:rsid w:val="000335C3"/>
    <w:rsid w:val="000557C9"/>
    <w:rsid w:val="00060307"/>
    <w:rsid w:val="00062371"/>
    <w:rsid w:val="00072C54"/>
    <w:rsid w:val="000A2901"/>
    <w:rsid w:val="000B29C9"/>
    <w:rsid w:val="000B6E97"/>
    <w:rsid w:val="000C6208"/>
    <w:rsid w:val="000D47E4"/>
    <w:rsid w:val="00111869"/>
    <w:rsid w:val="001276E2"/>
    <w:rsid w:val="00182F52"/>
    <w:rsid w:val="001E65B4"/>
    <w:rsid w:val="001F5524"/>
    <w:rsid w:val="002000A2"/>
    <w:rsid w:val="002024B0"/>
    <w:rsid w:val="00206E3C"/>
    <w:rsid w:val="00231F52"/>
    <w:rsid w:val="00233B84"/>
    <w:rsid w:val="00235C30"/>
    <w:rsid w:val="00237F7F"/>
    <w:rsid w:val="002622F1"/>
    <w:rsid w:val="002933DE"/>
    <w:rsid w:val="002945D1"/>
    <w:rsid w:val="002967D4"/>
    <w:rsid w:val="002B2986"/>
    <w:rsid w:val="002B3737"/>
    <w:rsid w:val="002E5153"/>
    <w:rsid w:val="002E5898"/>
    <w:rsid w:val="002F1E66"/>
    <w:rsid w:val="00307BAA"/>
    <w:rsid w:val="00330DA5"/>
    <w:rsid w:val="003405D4"/>
    <w:rsid w:val="003440A9"/>
    <w:rsid w:val="0035786A"/>
    <w:rsid w:val="00362A3A"/>
    <w:rsid w:val="00370DD2"/>
    <w:rsid w:val="003A1625"/>
    <w:rsid w:val="003C289B"/>
    <w:rsid w:val="003F18D2"/>
    <w:rsid w:val="003F427F"/>
    <w:rsid w:val="003F7E0A"/>
    <w:rsid w:val="004148E6"/>
    <w:rsid w:val="00425326"/>
    <w:rsid w:val="004277C8"/>
    <w:rsid w:val="0044297A"/>
    <w:rsid w:val="004A463D"/>
    <w:rsid w:val="004A49E8"/>
    <w:rsid w:val="004A6D73"/>
    <w:rsid w:val="004D4FE0"/>
    <w:rsid w:val="004E4419"/>
    <w:rsid w:val="004E686F"/>
    <w:rsid w:val="004F28F6"/>
    <w:rsid w:val="0052130C"/>
    <w:rsid w:val="00523028"/>
    <w:rsid w:val="00565B03"/>
    <w:rsid w:val="0057709E"/>
    <w:rsid w:val="0057780C"/>
    <w:rsid w:val="0058616F"/>
    <w:rsid w:val="005867C2"/>
    <w:rsid w:val="00593B1E"/>
    <w:rsid w:val="005A16D3"/>
    <w:rsid w:val="005B119B"/>
    <w:rsid w:val="005B26C8"/>
    <w:rsid w:val="005B45B2"/>
    <w:rsid w:val="005B5198"/>
    <w:rsid w:val="005C7B95"/>
    <w:rsid w:val="005D33B3"/>
    <w:rsid w:val="005E27E2"/>
    <w:rsid w:val="005E7533"/>
    <w:rsid w:val="005F6734"/>
    <w:rsid w:val="0060046F"/>
    <w:rsid w:val="00612456"/>
    <w:rsid w:val="00617C63"/>
    <w:rsid w:val="00623207"/>
    <w:rsid w:val="0062439A"/>
    <w:rsid w:val="006343C8"/>
    <w:rsid w:val="00635170"/>
    <w:rsid w:val="006545B0"/>
    <w:rsid w:val="0066154E"/>
    <w:rsid w:val="00664A3E"/>
    <w:rsid w:val="006703BF"/>
    <w:rsid w:val="006A533B"/>
    <w:rsid w:val="006A7A43"/>
    <w:rsid w:val="006B059D"/>
    <w:rsid w:val="006B58E4"/>
    <w:rsid w:val="006C5F6F"/>
    <w:rsid w:val="006E0D52"/>
    <w:rsid w:val="00715976"/>
    <w:rsid w:val="00751292"/>
    <w:rsid w:val="00754EBE"/>
    <w:rsid w:val="00780944"/>
    <w:rsid w:val="007906D4"/>
    <w:rsid w:val="007A3949"/>
    <w:rsid w:val="007A7445"/>
    <w:rsid w:val="007A7E4A"/>
    <w:rsid w:val="007C34FC"/>
    <w:rsid w:val="007D2B37"/>
    <w:rsid w:val="007D55CA"/>
    <w:rsid w:val="007E724A"/>
    <w:rsid w:val="008062C9"/>
    <w:rsid w:val="00833050"/>
    <w:rsid w:val="00835C91"/>
    <w:rsid w:val="00865CB0"/>
    <w:rsid w:val="00882B75"/>
    <w:rsid w:val="00884366"/>
    <w:rsid w:val="00887E24"/>
    <w:rsid w:val="008948ED"/>
    <w:rsid w:val="008B7274"/>
    <w:rsid w:val="008C0F83"/>
    <w:rsid w:val="008C7A52"/>
    <w:rsid w:val="008D2802"/>
    <w:rsid w:val="008D583A"/>
    <w:rsid w:val="00922CB3"/>
    <w:rsid w:val="00953783"/>
    <w:rsid w:val="00971746"/>
    <w:rsid w:val="009A05A3"/>
    <w:rsid w:val="009A4C32"/>
    <w:rsid w:val="009D516E"/>
    <w:rsid w:val="00A03EED"/>
    <w:rsid w:val="00A0400A"/>
    <w:rsid w:val="00A34501"/>
    <w:rsid w:val="00A36235"/>
    <w:rsid w:val="00A51467"/>
    <w:rsid w:val="00A542E9"/>
    <w:rsid w:val="00A555EC"/>
    <w:rsid w:val="00A7056D"/>
    <w:rsid w:val="00A70A12"/>
    <w:rsid w:val="00A76BA0"/>
    <w:rsid w:val="00A87EED"/>
    <w:rsid w:val="00AA1A5B"/>
    <w:rsid w:val="00AB37B4"/>
    <w:rsid w:val="00AB39E4"/>
    <w:rsid w:val="00AB52BF"/>
    <w:rsid w:val="00AC0692"/>
    <w:rsid w:val="00AC112B"/>
    <w:rsid w:val="00B018A2"/>
    <w:rsid w:val="00B0198C"/>
    <w:rsid w:val="00B01EE8"/>
    <w:rsid w:val="00B24DF5"/>
    <w:rsid w:val="00B471F0"/>
    <w:rsid w:val="00B51EAB"/>
    <w:rsid w:val="00B56058"/>
    <w:rsid w:val="00B56555"/>
    <w:rsid w:val="00B81E6B"/>
    <w:rsid w:val="00B83C28"/>
    <w:rsid w:val="00B92EA3"/>
    <w:rsid w:val="00B94993"/>
    <w:rsid w:val="00BB549C"/>
    <w:rsid w:val="00BB6674"/>
    <w:rsid w:val="00BD4598"/>
    <w:rsid w:val="00C2462E"/>
    <w:rsid w:val="00C41E42"/>
    <w:rsid w:val="00C50DB6"/>
    <w:rsid w:val="00C55BF8"/>
    <w:rsid w:val="00C60C52"/>
    <w:rsid w:val="00C872C5"/>
    <w:rsid w:val="00C9658C"/>
    <w:rsid w:val="00CA6B6D"/>
    <w:rsid w:val="00CB2C2A"/>
    <w:rsid w:val="00CE61FF"/>
    <w:rsid w:val="00CF74D2"/>
    <w:rsid w:val="00D23402"/>
    <w:rsid w:val="00D244EF"/>
    <w:rsid w:val="00D466B5"/>
    <w:rsid w:val="00D500B1"/>
    <w:rsid w:val="00D55B2B"/>
    <w:rsid w:val="00D60BA0"/>
    <w:rsid w:val="00D67447"/>
    <w:rsid w:val="00D74F01"/>
    <w:rsid w:val="00D7780A"/>
    <w:rsid w:val="00D9611B"/>
    <w:rsid w:val="00DA004B"/>
    <w:rsid w:val="00DC17CC"/>
    <w:rsid w:val="00DD79D1"/>
    <w:rsid w:val="00DF044B"/>
    <w:rsid w:val="00E11089"/>
    <w:rsid w:val="00E128C4"/>
    <w:rsid w:val="00E132F8"/>
    <w:rsid w:val="00E2126B"/>
    <w:rsid w:val="00E271E1"/>
    <w:rsid w:val="00E50BAC"/>
    <w:rsid w:val="00E702B6"/>
    <w:rsid w:val="00E713D3"/>
    <w:rsid w:val="00E84113"/>
    <w:rsid w:val="00E84FB8"/>
    <w:rsid w:val="00EB6ECA"/>
    <w:rsid w:val="00EC18B6"/>
    <w:rsid w:val="00F3545B"/>
    <w:rsid w:val="00F36D47"/>
    <w:rsid w:val="00F42AF3"/>
    <w:rsid w:val="00F45938"/>
    <w:rsid w:val="00F746A5"/>
    <w:rsid w:val="00F86365"/>
    <w:rsid w:val="00FA1996"/>
    <w:rsid w:val="00FC351F"/>
    <w:rsid w:val="00FC7909"/>
    <w:rsid w:val="00FE15B2"/>
    <w:rsid w:val="00FF7775"/>
    <w:rsid w:val="0136178D"/>
    <w:rsid w:val="015E1E47"/>
    <w:rsid w:val="01671BDD"/>
    <w:rsid w:val="016B5EA1"/>
    <w:rsid w:val="02CB7F49"/>
    <w:rsid w:val="0318431F"/>
    <w:rsid w:val="03BF2696"/>
    <w:rsid w:val="03F97EDB"/>
    <w:rsid w:val="04D0788C"/>
    <w:rsid w:val="052927CB"/>
    <w:rsid w:val="055E19E9"/>
    <w:rsid w:val="060D5D36"/>
    <w:rsid w:val="06AE5462"/>
    <w:rsid w:val="06B17456"/>
    <w:rsid w:val="06F04515"/>
    <w:rsid w:val="072858D8"/>
    <w:rsid w:val="07337418"/>
    <w:rsid w:val="07CF228A"/>
    <w:rsid w:val="09202B8C"/>
    <w:rsid w:val="0930321F"/>
    <w:rsid w:val="0A6674F3"/>
    <w:rsid w:val="0AF76CEC"/>
    <w:rsid w:val="0B104B6D"/>
    <w:rsid w:val="0BBD55D7"/>
    <w:rsid w:val="0BC36298"/>
    <w:rsid w:val="0E131FDC"/>
    <w:rsid w:val="0E6F13D7"/>
    <w:rsid w:val="0EEE40FA"/>
    <w:rsid w:val="0F071206"/>
    <w:rsid w:val="0F410136"/>
    <w:rsid w:val="0F455CD5"/>
    <w:rsid w:val="102F116C"/>
    <w:rsid w:val="107B1588"/>
    <w:rsid w:val="115B0F38"/>
    <w:rsid w:val="1274673E"/>
    <w:rsid w:val="130F1181"/>
    <w:rsid w:val="134E4BF4"/>
    <w:rsid w:val="13AF08AC"/>
    <w:rsid w:val="13C75E5C"/>
    <w:rsid w:val="13DE2AD8"/>
    <w:rsid w:val="143D6C46"/>
    <w:rsid w:val="14C21766"/>
    <w:rsid w:val="14FB705C"/>
    <w:rsid w:val="15120EE0"/>
    <w:rsid w:val="15874EAD"/>
    <w:rsid w:val="15B1397C"/>
    <w:rsid w:val="165E3157"/>
    <w:rsid w:val="16B70F10"/>
    <w:rsid w:val="17B46314"/>
    <w:rsid w:val="17E94B2B"/>
    <w:rsid w:val="19D553DB"/>
    <w:rsid w:val="1A911621"/>
    <w:rsid w:val="1BC20431"/>
    <w:rsid w:val="1C292742"/>
    <w:rsid w:val="1C5E0883"/>
    <w:rsid w:val="1C9313A3"/>
    <w:rsid w:val="1E425839"/>
    <w:rsid w:val="1E89689C"/>
    <w:rsid w:val="1EBB30D0"/>
    <w:rsid w:val="1F3957B1"/>
    <w:rsid w:val="1FE36D3F"/>
    <w:rsid w:val="201A3B37"/>
    <w:rsid w:val="20400DD9"/>
    <w:rsid w:val="205622A0"/>
    <w:rsid w:val="20A57167"/>
    <w:rsid w:val="210D011E"/>
    <w:rsid w:val="21AD1880"/>
    <w:rsid w:val="21C73788"/>
    <w:rsid w:val="21CD73E2"/>
    <w:rsid w:val="22BA08A3"/>
    <w:rsid w:val="23472E82"/>
    <w:rsid w:val="24452722"/>
    <w:rsid w:val="24700DA8"/>
    <w:rsid w:val="26CE5B80"/>
    <w:rsid w:val="27295662"/>
    <w:rsid w:val="279E36ED"/>
    <w:rsid w:val="27E82072"/>
    <w:rsid w:val="286878A8"/>
    <w:rsid w:val="28AA0851"/>
    <w:rsid w:val="28EF6829"/>
    <w:rsid w:val="298712A2"/>
    <w:rsid w:val="29F90F35"/>
    <w:rsid w:val="2A077C42"/>
    <w:rsid w:val="2A3239FB"/>
    <w:rsid w:val="2A457607"/>
    <w:rsid w:val="2AC419C4"/>
    <w:rsid w:val="2B411C91"/>
    <w:rsid w:val="2B544B4F"/>
    <w:rsid w:val="2B885AA8"/>
    <w:rsid w:val="2B974DED"/>
    <w:rsid w:val="2BD36228"/>
    <w:rsid w:val="2BDB6EE0"/>
    <w:rsid w:val="2BE30919"/>
    <w:rsid w:val="2C7E4871"/>
    <w:rsid w:val="2C8565EA"/>
    <w:rsid w:val="2CD25230"/>
    <w:rsid w:val="2D9F6A9A"/>
    <w:rsid w:val="2E44794F"/>
    <w:rsid w:val="2E4D34A3"/>
    <w:rsid w:val="2E692C7D"/>
    <w:rsid w:val="2F396215"/>
    <w:rsid w:val="2F964E75"/>
    <w:rsid w:val="2FFF2876"/>
    <w:rsid w:val="317957A2"/>
    <w:rsid w:val="32485619"/>
    <w:rsid w:val="32C21079"/>
    <w:rsid w:val="33891FBD"/>
    <w:rsid w:val="33B04FAE"/>
    <w:rsid w:val="34D21565"/>
    <w:rsid w:val="353F7482"/>
    <w:rsid w:val="35873F21"/>
    <w:rsid w:val="360F5FD8"/>
    <w:rsid w:val="361E5DA1"/>
    <w:rsid w:val="37187682"/>
    <w:rsid w:val="37310D60"/>
    <w:rsid w:val="373830F8"/>
    <w:rsid w:val="376E7052"/>
    <w:rsid w:val="37DC57D2"/>
    <w:rsid w:val="37E55EBA"/>
    <w:rsid w:val="37E760B6"/>
    <w:rsid w:val="37FE39FA"/>
    <w:rsid w:val="383A0424"/>
    <w:rsid w:val="38603315"/>
    <w:rsid w:val="38C06F01"/>
    <w:rsid w:val="39351549"/>
    <w:rsid w:val="3A5C6FFB"/>
    <w:rsid w:val="3AB93ED2"/>
    <w:rsid w:val="3BD20C54"/>
    <w:rsid w:val="3CAD5336"/>
    <w:rsid w:val="3CB51E2C"/>
    <w:rsid w:val="3CC947CA"/>
    <w:rsid w:val="3D206489"/>
    <w:rsid w:val="3DA23357"/>
    <w:rsid w:val="3E346D23"/>
    <w:rsid w:val="3E46739C"/>
    <w:rsid w:val="3EA91361"/>
    <w:rsid w:val="3F2B22AD"/>
    <w:rsid w:val="3F397999"/>
    <w:rsid w:val="3F9115F7"/>
    <w:rsid w:val="3FCA7855"/>
    <w:rsid w:val="3FCC6AD3"/>
    <w:rsid w:val="40063C97"/>
    <w:rsid w:val="40BA6796"/>
    <w:rsid w:val="41323D50"/>
    <w:rsid w:val="41504943"/>
    <w:rsid w:val="419327C0"/>
    <w:rsid w:val="41D60E95"/>
    <w:rsid w:val="420120D8"/>
    <w:rsid w:val="424907F8"/>
    <w:rsid w:val="424924E3"/>
    <w:rsid w:val="427B59BD"/>
    <w:rsid w:val="42982382"/>
    <w:rsid w:val="43593652"/>
    <w:rsid w:val="43F622A6"/>
    <w:rsid w:val="44577695"/>
    <w:rsid w:val="44BB584C"/>
    <w:rsid w:val="45136B35"/>
    <w:rsid w:val="457A4A13"/>
    <w:rsid w:val="460F2655"/>
    <w:rsid w:val="461462B3"/>
    <w:rsid w:val="468B70BA"/>
    <w:rsid w:val="46CB7230"/>
    <w:rsid w:val="47DA2B3E"/>
    <w:rsid w:val="49301BD3"/>
    <w:rsid w:val="4962482A"/>
    <w:rsid w:val="498A2B59"/>
    <w:rsid w:val="49F37FC1"/>
    <w:rsid w:val="4A7B537E"/>
    <w:rsid w:val="4B55194F"/>
    <w:rsid w:val="4BCC58D0"/>
    <w:rsid w:val="4C062FAF"/>
    <w:rsid w:val="4C237A7B"/>
    <w:rsid w:val="4C5328CF"/>
    <w:rsid w:val="4C6317AE"/>
    <w:rsid w:val="4CEE3199"/>
    <w:rsid w:val="4F081BC1"/>
    <w:rsid w:val="4F9875C3"/>
    <w:rsid w:val="4FD073D1"/>
    <w:rsid w:val="4FEB1956"/>
    <w:rsid w:val="51130F91"/>
    <w:rsid w:val="513E0491"/>
    <w:rsid w:val="51A10CF6"/>
    <w:rsid w:val="526178B3"/>
    <w:rsid w:val="53FC4FDD"/>
    <w:rsid w:val="5435497A"/>
    <w:rsid w:val="543C36AE"/>
    <w:rsid w:val="54457FDE"/>
    <w:rsid w:val="548B2661"/>
    <w:rsid w:val="548B440F"/>
    <w:rsid w:val="54DC3E13"/>
    <w:rsid w:val="5514057F"/>
    <w:rsid w:val="55D04965"/>
    <w:rsid w:val="56816881"/>
    <w:rsid w:val="575B631B"/>
    <w:rsid w:val="577E3516"/>
    <w:rsid w:val="57EA7879"/>
    <w:rsid w:val="57F007A5"/>
    <w:rsid w:val="58220523"/>
    <w:rsid w:val="58FD2B38"/>
    <w:rsid w:val="591E2A40"/>
    <w:rsid w:val="59290351"/>
    <w:rsid w:val="59796983"/>
    <w:rsid w:val="59F40CA9"/>
    <w:rsid w:val="5A2A4069"/>
    <w:rsid w:val="5A5D3BD6"/>
    <w:rsid w:val="5B1808EA"/>
    <w:rsid w:val="5B231846"/>
    <w:rsid w:val="5BC56B85"/>
    <w:rsid w:val="5BD5080E"/>
    <w:rsid w:val="5C7C3E5F"/>
    <w:rsid w:val="5D256D74"/>
    <w:rsid w:val="5D333AA4"/>
    <w:rsid w:val="5DA86993"/>
    <w:rsid w:val="5E0E643B"/>
    <w:rsid w:val="5ECA5460"/>
    <w:rsid w:val="5FC4349C"/>
    <w:rsid w:val="5FCF6E47"/>
    <w:rsid w:val="60BF5B6D"/>
    <w:rsid w:val="60D355E6"/>
    <w:rsid w:val="60E97BA0"/>
    <w:rsid w:val="60F07697"/>
    <w:rsid w:val="61387C54"/>
    <w:rsid w:val="61F17042"/>
    <w:rsid w:val="63447CA3"/>
    <w:rsid w:val="63AE7B05"/>
    <w:rsid w:val="647F4DFD"/>
    <w:rsid w:val="64B44539"/>
    <w:rsid w:val="650E1A15"/>
    <w:rsid w:val="65124FC0"/>
    <w:rsid w:val="65510BDD"/>
    <w:rsid w:val="65A26B93"/>
    <w:rsid w:val="65BC48FF"/>
    <w:rsid w:val="65E44C55"/>
    <w:rsid w:val="65F13566"/>
    <w:rsid w:val="65F24B0B"/>
    <w:rsid w:val="66044022"/>
    <w:rsid w:val="666B5E4F"/>
    <w:rsid w:val="668F2DA6"/>
    <w:rsid w:val="674E752F"/>
    <w:rsid w:val="677630DE"/>
    <w:rsid w:val="6817503B"/>
    <w:rsid w:val="6907530E"/>
    <w:rsid w:val="69414238"/>
    <w:rsid w:val="69F93DAA"/>
    <w:rsid w:val="69FD69A8"/>
    <w:rsid w:val="69FF75D0"/>
    <w:rsid w:val="6A266695"/>
    <w:rsid w:val="6A6F350E"/>
    <w:rsid w:val="6B0F35F2"/>
    <w:rsid w:val="6B507F5A"/>
    <w:rsid w:val="6BA70FAE"/>
    <w:rsid w:val="6BB21E98"/>
    <w:rsid w:val="6BD835B5"/>
    <w:rsid w:val="6C2546FB"/>
    <w:rsid w:val="6CAB4964"/>
    <w:rsid w:val="6E085CF2"/>
    <w:rsid w:val="6E252088"/>
    <w:rsid w:val="6EB107A0"/>
    <w:rsid w:val="6EC466C2"/>
    <w:rsid w:val="6ED4259E"/>
    <w:rsid w:val="6EDB3F40"/>
    <w:rsid w:val="6EEE18DD"/>
    <w:rsid w:val="6FEE65A6"/>
    <w:rsid w:val="709266A3"/>
    <w:rsid w:val="712501B4"/>
    <w:rsid w:val="71867FCF"/>
    <w:rsid w:val="719009A8"/>
    <w:rsid w:val="71B82090"/>
    <w:rsid w:val="71F51182"/>
    <w:rsid w:val="71FD16B7"/>
    <w:rsid w:val="724F4E28"/>
    <w:rsid w:val="732A4196"/>
    <w:rsid w:val="75006173"/>
    <w:rsid w:val="75AA7603"/>
    <w:rsid w:val="761944C3"/>
    <w:rsid w:val="768908F4"/>
    <w:rsid w:val="77421D2D"/>
    <w:rsid w:val="774D7AAE"/>
    <w:rsid w:val="77B72497"/>
    <w:rsid w:val="794A1907"/>
    <w:rsid w:val="7AD46261"/>
    <w:rsid w:val="7B1F7F63"/>
    <w:rsid w:val="7B5233A2"/>
    <w:rsid w:val="7C9174E8"/>
    <w:rsid w:val="7D986F5E"/>
    <w:rsid w:val="7DBF4FA6"/>
    <w:rsid w:val="7E146CC2"/>
    <w:rsid w:val="7E431E0A"/>
    <w:rsid w:val="7F0657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0" w:semiHidden="0" w:name="Hyperlink"/>
    <w:lsdException w:qFormat="1" w:uiPriority="99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5"/>
    <w:qFormat/>
    <w:uiPriority w:val="9"/>
    <w:pPr>
      <w:keepNext/>
      <w:keepLines/>
      <w:spacing w:before="340" w:after="330" w:line="576" w:lineRule="auto"/>
      <w:outlineLvl w:val="0"/>
    </w:pPr>
    <w:rPr>
      <w:rFonts w:ascii="Times New Roman" w:hAnsi="Times New Roman"/>
      <w:b/>
      <w:bCs/>
      <w:kern w:val="44"/>
      <w:sz w:val="44"/>
      <w:szCs w:val="44"/>
    </w:rPr>
  </w:style>
  <w:style w:type="paragraph" w:styleId="3">
    <w:name w:val="heading 3"/>
    <w:basedOn w:val="1"/>
    <w:next w:val="1"/>
    <w:link w:val="16"/>
    <w:qFormat/>
    <w:uiPriority w:val="0"/>
    <w:pPr>
      <w:keepNext/>
      <w:keepLines/>
      <w:spacing w:before="260" w:after="260" w:line="412" w:lineRule="auto"/>
      <w:outlineLvl w:val="2"/>
    </w:pPr>
    <w:rPr>
      <w:b/>
      <w:sz w:val="32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Plain Text"/>
    <w:basedOn w:val="1"/>
    <w:link w:val="17"/>
    <w:unhideWhenUsed/>
    <w:qFormat/>
    <w:uiPriority w:val="0"/>
    <w:rPr>
      <w:rFonts w:ascii="宋体" w:hAnsi="Courier New"/>
      <w:szCs w:val="20"/>
    </w:rPr>
  </w:style>
  <w:style w:type="paragraph" w:styleId="5">
    <w:name w:val="Date"/>
    <w:basedOn w:val="1"/>
    <w:next w:val="1"/>
    <w:link w:val="18"/>
    <w:unhideWhenUsed/>
    <w:qFormat/>
    <w:uiPriority w:val="0"/>
    <w:pPr>
      <w:ind w:left="100" w:leftChars="2500"/>
    </w:pPr>
  </w:style>
  <w:style w:type="paragraph" w:styleId="6">
    <w:name w:val="Balloon Text"/>
    <w:basedOn w:val="1"/>
    <w:link w:val="19"/>
    <w:semiHidden/>
    <w:qFormat/>
    <w:uiPriority w:val="0"/>
    <w:rPr>
      <w:sz w:val="18"/>
      <w:szCs w:val="18"/>
    </w:rPr>
  </w:style>
  <w:style w:type="paragraph" w:styleId="7">
    <w:name w:val="footer"/>
    <w:basedOn w:val="1"/>
    <w:link w:val="2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21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10">
    <w:name w:val="Table Grid"/>
    <w:basedOn w:val="9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2">
    <w:name w:val="Strong"/>
    <w:qFormat/>
    <w:uiPriority w:val="0"/>
    <w:rPr>
      <w:b/>
      <w:bCs/>
    </w:rPr>
  </w:style>
  <w:style w:type="character" w:styleId="13">
    <w:name w:val="FollowedHyperlink"/>
    <w:unhideWhenUsed/>
    <w:qFormat/>
    <w:uiPriority w:val="99"/>
    <w:rPr>
      <w:color w:val="954F72"/>
      <w:u w:val="single"/>
    </w:rPr>
  </w:style>
  <w:style w:type="character" w:styleId="14">
    <w:name w:val="Hyperlink"/>
    <w:unhideWhenUsed/>
    <w:qFormat/>
    <w:uiPriority w:val="0"/>
    <w:rPr>
      <w:color w:val="0000FF"/>
      <w:u w:val="single"/>
    </w:rPr>
  </w:style>
  <w:style w:type="character" w:customStyle="1" w:styleId="15">
    <w:name w:val="标题 1 字符"/>
    <w:link w:val="2"/>
    <w:qFormat/>
    <w:locked/>
    <w:uiPriority w:val="9"/>
    <w:rPr>
      <w:rFonts w:eastAsia="宋体"/>
      <w:b/>
      <w:bCs/>
      <w:kern w:val="44"/>
      <w:sz w:val="44"/>
      <w:szCs w:val="44"/>
      <w:lang w:val="en-US" w:eastAsia="zh-CN" w:bidi="ar-SA"/>
    </w:rPr>
  </w:style>
  <w:style w:type="character" w:customStyle="1" w:styleId="16">
    <w:name w:val="标题 3 字符"/>
    <w:link w:val="3"/>
    <w:semiHidden/>
    <w:qFormat/>
    <w:uiPriority w:val="0"/>
    <w:rPr>
      <w:rFonts w:ascii="Calibri" w:hAnsi="Calibri" w:cs="宋体"/>
      <w:b/>
      <w:kern w:val="2"/>
      <w:sz w:val="32"/>
      <w:szCs w:val="22"/>
    </w:rPr>
  </w:style>
  <w:style w:type="character" w:customStyle="1" w:styleId="17">
    <w:name w:val="纯文本 字符"/>
    <w:link w:val="4"/>
    <w:qFormat/>
    <w:uiPriority w:val="0"/>
    <w:rPr>
      <w:rFonts w:ascii="宋体" w:hAnsi="Courier New"/>
      <w:kern w:val="2"/>
      <w:sz w:val="21"/>
    </w:rPr>
  </w:style>
  <w:style w:type="character" w:customStyle="1" w:styleId="18">
    <w:name w:val="日期 字符"/>
    <w:link w:val="5"/>
    <w:qFormat/>
    <w:uiPriority w:val="0"/>
    <w:rPr>
      <w:rFonts w:ascii="Calibri" w:hAnsi="Calibri"/>
      <w:kern w:val="2"/>
      <w:sz w:val="21"/>
      <w:szCs w:val="22"/>
    </w:rPr>
  </w:style>
  <w:style w:type="character" w:customStyle="1" w:styleId="19">
    <w:name w:val="批注框文本 字符"/>
    <w:link w:val="6"/>
    <w:semiHidden/>
    <w:qFormat/>
    <w:uiPriority w:val="0"/>
    <w:rPr>
      <w:rFonts w:ascii="Calibri" w:hAnsi="Calibri"/>
      <w:kern w:val="2"/>
      <w:sz w:val="18"/>
      <w:szCs w:val="18"/>
    </w:rPr>
  </w:style>
  <w:style w:type="character" w:customStyle="1" w:styleId="20">
    <w:name w:val="页脚 字符"/>
    <w:link w:val="7"/>
    <w:qFormat/>
    <w:uiPriority w:val="99"/>
    <w:rPr>
      <w:rFonts w:ascii="Calibri" w:hAnsi="Calibri"/>
      <w:kern w:val="2"/>
      <w:sz w:val="18"/>
      <w:szCs w:val="18"/>
    </w:rPr>
  </w:style>
  <w:style w:type="character" w:customStyle="1" w:styleId="21">
    <w:name w:val="页眉 字符"/>
    <w:link w:val="8"/>
    <w:qFormat/>
    <w:uiPriority w:val="0"/>
    <w:rPr>
      <w:rFonts w:ascii="Calibri" w:hAnsi="Calibri"/>
      <w:kern w:val="2"/>
      <w:sz w:val="18"/>
      <w:szCs w:val="18"/>
    </w:rPr>
  </w:style>
  <w:style w:type="character" w:customStyle="1" w:styleId="22">
    <w:name w:val="标题 1 字符1"/>
    <w:qFormat/>
    <w:locked/>
    <w:uiPriority w:val="0"/>
    <w:rPr>
      <w:b/>
      <w:bCs/>
      <w:kern w:val="44"/>
      <w:sz w:val="44"/>
      <w:szCs w:val="44"/>
    </w:rPr>
  </w:style>
  <w:style w:type="paragraph" w:customStyle="1" w:styleId="23">
    <w:name w:val="msonormal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24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6</Pages>
  <Words>2633</Words>
  <Characters>2695</Characters>
  <Lines>70</Lines>
  <Paragraphs>53</Paragraphs>
  <TotalTime>1</TotalTime>
  <ScaleCrop>false</ScaleCrop>
  <LinksUpToDate>false</LinksUpToDate>
  <CharactersWithSpaces>2711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2025-04-29T01:23:00Z</dcterms:created>
  <dc:creator>微软用户</dc:creator>
  <cp:lastModifiedBy>戴菲菲</cp:lastModifiedBy>
  <cp:lastPrinted>2025-05-06T06:47:00Z</cp:lastPrinted>
  <dcterms:modified xsi:type="dcterms:W3CDTF">2025-05-07T11:28:43Z</dcterms:modified>
  <dc:title>2012年江苏省儿童口腔疾病</dc:title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DC726C08C9464493A3085F75C97A74A0</vt:lpwstr>
  </property>
  <property fmtid="{D5CDD505-2E9C-101B-9397-08002B2CF9AE}" pid="4" name="KSOSaveFontToCloudKey">
    <vt:lpwstr>0_btnclosed</vt:lpwstr>
  </property>
  <property fmtid="{D5CDD505-2E9C-101B-9397-08002B2CF9AE}" pid="5" name="KSOTemplateDocerSaveRecord">
    <vt:lpwstr>eyJoZGlkIjoiZDEzMzlmZjBhNjUyYjc4ODNhYmVmNWU3NjY5ZjMzMjgiLCJ1c2VySWQiOiIxNjI2NDg5MTI4In0=</vt:lpwstr>
  </property>
</Properties>
</file>