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jc w:val="distribute"/>
        <w:rPr>
          <w:rFonts w:ascii="方正小标宋简体" w:hAnsi="方正小标宋简体" w:eastAsia="方正小标宋简体" w:cs="方正小标宋简体"/>
          <w:b/>
          <w:color w:val="FF0000"/>
          <w:w w:val="90"/>
          <w:sz w:val="90"/>
          <w:szCs w:val="122"/>
        </w:rPr>
      </w:pPr>
      <w:r>
        <w:rPr>
          <w:rFonts w:hint="eastAsia" w:ascii="方正小标宋简体" w:hAnsi="方正小标宋简体" w:eastAsia="方正小标宋简体" w:cs="方正小标宋简体"/>
          <w:b/>
          <w:color w:val="FF0000"/>
          <w:w w:val="90"/>
          <w:kern w:val="0"/>
          <w:sz w:val="90"/>
          <w:szCs w:val="122"/>
        </w:rPr>
        <w:t>如皋市城市管理局文件</w:t>
      </w:r>
    </w:p>
    <w:p>
      <w:pPr>
        <w:pStyle w:val="2"/>
        <w:widowControl/>
        <w:spacing w:line="240" w:lineRule="exact"/>
        <w:rPr>
          <w:rFonts w:ascii="仿宋_GB2312" w:eastAsia="仿宋_GB2312" w:cs="仿宋_GB2312"/>
          <w:sz w:val="32"/>
        </w:rPr>
      </w:pPr>
    </w:p>
    <w:p>
      <w:pPr>
        <w:pStyle w:val="2"/>
        <w:spacing w:line="600" w:lineRule="exact"/>
        <w:jc w:val="center"/>
        <w:rPr>
          <w:rFonts w:hint="eastAsia" w:ascii="仿宋_GB2312" w:hAnsi="仿宋_GB2312" w:eastAsia="仿宋_GB2312" w:cs="仿宋_GB2312"/>
          <w:sz w:val="32"/>
        </w:rPr>
      </w:pPr>
    </w:p>
    <w:p>
      <w:pPr>
        <w:pStyle w:val="2"/>
        <w:spacing w:line="600" w:lineRule="exact"/>
        <w:jc w:val="center"/>
        <w:rPr>
          <w:rFonts w:hint="eastAsia" w:ascii="仿宋_GB2312" w:eastAsia="仿宋_GB2312"/>
          <w:sz w:val="32"/>
        </w:rPr>
      </w:pPr>
      <w:r>
        <w:rPr>
          <w:rFonts w:hint="eastAsia" w:ascii="仿宋_GB2312" w:hAnsi="仿宋_GB2312" w:eastAsia="仿宋_GB2312" w:cs="仿宋_GB2312"/>
          <w:sz w:val="32"/>
        </w:rPr>
        <w:t>皋城管发〔2019〕</w:t>
      </w:r>
      <w:r>
        <w:rPr>
          <w:rFonts w:hint="eastAsia" w:ascii="仿宋_GB2312" w:hAnsi="仿宋_GB2312" w:eastAsia="仿宋_GB2312" w:cs="仿宋_GB2312"/>
          <w:sz w:val="32"/>
          <w:lang w:val="en-US" w:eastAsia="zh-CN"/>
        </w:rPr>
        <w:t>77</w:t>
      </w:r>
      <w:r>
        <w:rPr>
          <w:rFonts w:hint="eastAsia" w:ascii="仿宋_GB2312" w:hAnsi="仿宋_GB2312" w:eastAsia="仿宋_GB2312" w:cs="仿宋_GB2312"/>
          <w:sz w:val="32"/>
        </w:rPr>
        <w:t>号</w:t>
      </w:r>
      <w:r>
        <w:pict>
          <v:line id="_x0000_s2050" o:spid="_x0000_s2050" o:spt="20" style="position:absolute;left:0pt;margin-left:79.4pt;margin-top:156pt;height:0.05pt;width:439.35pt;mso-position-horizontal-relative:page;mso-position-vertical-relative:margin;z-index:251673600;mso-width-relative:page;mso-height-relative:page;" filled="f" stroked="t" coordsize="21600,21600" o:gfxdata="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obiwH2AAAAAwBAAAPAAAAAAAAAAEA&#10;IAAAACIAAABkcnMvZG93bnJldi54bWxQSwECFAAUAAAACACHTuJA3q8rp9YBAACeAwAADgAAAAAA&#10;AAABACAAAAAnAQAAZHJzL2Uyb0RvYy54bWxQSwUGAAAAAAYABgBZAQAAbwUAAAAA&#10;">
            <v:path arrowok="t"/>
            <v:fill on="f" focussize="0,0"/>
            <v:stroke weight="2.25pt" color="#FF0000"/>
            <v:imagedata o:title=""/>
            <o:lock v:ext="edit" aspectratio="f"/>
          </v:line>
        </w:pict>
      </w:r>
    </w:p>
    <w:p>
      <w:pPr>
        <w:pStyle w:val="2"/>
        <w:spacing w:line="400" w:lineRule="exact"/>
        <w:jc w:val="center"/>
        <w:rPr>
          <w:rFonts w:hint="eastAsia" w:ascii="仿宋_GB2312" w:eastAsia="仿宋_GB2312"/>
          <w:sz w:val="32"/>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如皋市</w:t>
      </w:r>
      <w:r>
        <w:rPr>
          <w:rFonts w:hint="eastAsia" w:ascii="方正小标宋简体" w:hAnsi="方正小标宋简体" w:eastAsia="方正小标宋简体" w:cs="方正小标宋简体"/>
          <w:bCs/>
          <w:kern w:val="0"/>
          <w:sz w:val="44"/>
          <w:szCs w:val="44"/>
          <w:lang w:eastAsia="zh-CN"/>
        </w:rPr>
        <w:t>城市管理</w:t>
      </w:r>
      <w:r>
        <w:rPr>
          <w:rFonts w:hint="eastAsia" w:ascii="方正小标宋简体" w:hAnsi="方正小标宋简体" w:eastAsia="方正小标宋简体" w:cs="方正小标宋简体"/>
          <w:bCs/>
          <w:kern w:val="0"/>
          <w:sz w:val="44"/>
          <w:szCs w:val="44"/>
        </w:rPr>
        <w:t>局</w:t>
      </w:r>
      <w:r>
        <w:rPr>
          <w:rFonts w:hint="eastAsia" w:ascii="方正小标宋简体" w:hAnsi="方正小标宋简体" w:eastAsia="方正小标宋简体" w:cs="方正小标宋简体"/>
          <w:bCs/>
          <w:kern w:val="0"/>
          <w:sz w:val="44"/>
          <w:szCs w:val="44"/>
          <w:lang w:eastAsia="zh-CN"/>
        </w:rPr>
        <w:t>关于印发《</w:t>
      </w:r>
      <w:r>
        <w:rPr>
          <w:rFonts w:hint="eastAsia" w:ascii="方正小标宋简体" w:hAnsi="方正小标宋简体" w:eastAsia="方正小标宋简体" w:cs="方正小标宋简体"/>
          <w:bCs/>
          <w:kern w:val="0"/>
          <w:sz w:val="44"/>
          <w:szCs w:val="44"/>
        </w:rPr>
        <w:t>推进“三项</w:t>
      </w:r>
      <w:r>
        <w:rPr>
          <w:rFonts w:hint="eastAsia" w:ascii="方正小标宋简体" w:hAnsi="方正小标宋简体" w:eastAsia="方正小标宋简体" w:cs="方正小标宋简体"/>
          <w:bCs/>
          <w:kern w:val="0"/>
          <w:sz w:val="44"/>
          <w:szCs w:val="44"/>
          <w:lang w:val="en-US" w:eastAsia="zh-CN"/>
        </w:rPr>
        <w:t xml:space="preserve">  </w:t>
      </w:r>
      <w:r>
        <w:rPr>
          <w:rFonts w:hint="eastAsia" w:ascii="方正小标宋简体" w:hAnsi="方正小标宋简体" w:eastAsia="方正小标宋简体" w:cs="方正小标宋简体"/>
          <w:bCs/>
          <w:kern w:val="0"/>
          <w:sz w:val="44"/>
          <w:szCs w:val="44"/>
        </w:rPr>
        <w:t>制度”工作实施方案</w:t>
      </w:r>
      <w:r>
        <w:rPr>
          <w:rFonts w:hint="eastAsia" w:ascii="方正小标宋简体" w:hAnsi="方正小标宋简体" w:eastAsia="方正小标宋简体" w:cs="方正小标宋简体"/>
          <w:bCs/>
          <w:kern w:val="0"/>
          <w:sz w:val="44"/>
          <w:szCs w:val="44"/>
          <w:lang w:eastAsia="zh-CN"/>
        </w:rPr>
        <w:t>》的通知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方正小标宋简体" w:hAnsi="方正小标宋简体" w:eastAsia="方正小标宋简体" w:cs="方正小标宋简体"/>
          <w:bCs/>
          <w:kern w:val="0"/>
          <w:sz w:val="44"/>
          <w:szCs w:val="44"/>
        </w:rPr>
      </w:pPr>
    </w:p>
    <w:p>
      <w:pPr>
        <w:rPr>
          <w:rFonts w:hint="eastAsia" w:ascii="方正小标宋简体" w:hAnsi="方正小标宋简体" w:eastAsia="方正小标宋简体" w:cs="方正小标宋简体"/>
          <w:bCs/>
          <w:kern w:val="0"/>
          <w:sz w:val="44"/>
          <w:szCs w:val="44"/>
        </w:rPr>
      </w:pPr>
      <w:r>
        <w:rPr>
          <w:rFonts w:hint="eastAsia" w:ascii="仿宋_GB2312" w:hAnsi="仿宋_GB2312" w:eastAsia="仿宋_GB2312" w:cs="仿宋_GB2312"/>
          <w:sz w:val="32"/>
          <w:szCs w:val="32"/>
        </w:rPr>
        <w:t>各镇（区）城管机构，机关各科室，监督指挥中心，各下属单位：</w:t>
      </w:r>
    </w:p>
    <w:p>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根据国务院办公厅《关于全面推行行政执法公示制度执法全过程记录制度重大执法决定法制审核制度的指导意见》(国办发〔2018〕118号)以及省、南通市和如皋市关于全面推行行政执法公示制度执法全过程记录制度重大执法决定法制审核制度（以下简称</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）的要求，结合我局实际，制定本实施方案。</w:t>
      </w:r>
    </w:p>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一、总体要求</w:t>
      </w:r>
    </w:p>
    <w:p>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以习近平新时代中国特色社会主义思想为指导，全面贯彻党的十九大和十九届二中、三中全会精神，深入落实习近平总书记关于全面依法治国的重要指示精神,按照依法规范、执法为民、务实高效、改革创新和统筹协调的原则，紧密联系实际，突出问题导向，全面推行</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,实现执法信息公开透明、执法全过程留痕、执法决定合法有效,切实做到严格规范公正文明执法。</w:t>
      </w:r>
    </w:p>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二、任务要点</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楷体" w:hAnsi="楷体" w:eastAsia="楷体" w:cs="宋体"/>
          <w:kern w:val="0"/>
          <w:sz w:val="32"/>
          <w:szCs w:val="32"/>
        </w:rPr>
        <w:t>（一）成立领导小组，确保落实到位</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为确保</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工作的贯彻落实，成立如皋市</w:t>
      </w:r>
      <w:r>
        <w:rPr>
          <w:rFonts w:hint="eastAsia" w:ascii="仿宋_GB2312" w:hAnsi="宋体" w:eastAsia="仿宋_GB2312" w:cs="宋体"/>
          <w:kern w:val="0"/>
          <w:sz w:val="32"/>
          <w:szCs w:val="32"/>
          <w:lang w:eastAsia="zh-CN"/>
        </w:rPr>
        <w:t>城市管理</w:t>
      </w:r>
      <w:r>
        <w:rPr>
          <w:rFonts w:hint="eastAsia" w:ascii="仿宋_GB2312" w:hAnsi="宋体" w:eastAsia="仿宋_GB2312" w:cs="宋体"/>
          <w:kern w:val="0"/>
          <w:sz w:val="32"/>
          <w:szCs w:val="32"/>
        </w:rPr>
        <w:t>局实施</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工作领导组,组成人员如下:</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组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长：何福平</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副</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组长：翟建兵 孙夏兵</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成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员：杨小卫 缪卫华 高建如 赵四军</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楷体" w:hAnsi="楷体" w:eastAsia="楷体" w:cs="宋体"/>
          <w:kern w:val="0"/>
          <w:sz w:val="32"/>
          <w:szCs w:val="32"/>
        </w:rPr>
        <w:t>（二）组织宣传学习，营造良好氛围</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把省、市</w:t>
      </w:r>
      <w:bookmarkStart w:id="0" w:name="_GoBack"/>
      <w:bookmarkEnd w:id="0"/>
      <w:r>
        <w:rPr>
          <w:rFonts w:hint="eastAsia" w:ascii="仿宋_GB2312" w:hAnsi="宋体" w:eastAsia="仿宋_GB2312" w:cs="宋体"/>
          <w:kern w:val="0"/>
          <w:sz w:val="32"/>
          <w:szCs w:val="32"/>
        </w:rPr>
        <w:t>推行</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试点工作实施方案的学习作为干部职工学习的重要内容，组织全局干部职工，特别是局领导班子集中学习</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；通过学习，让全局干部职工熟知</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，领会实施</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的目的和意义，营造人人遵守</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、人人自觉执行</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、人人积极参与实施</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的良好氛围。</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（三）把握重点内容，扎实抓好落实</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作为一个有机统一的整体，既相互联系，又相互区别，解决问题的侧重点不同。为确保</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落到实处，明确重点，细化内容：</w:t>
      </w:r>
    </w:p>
    <w:p>
      <w:pPr>
        <w:widowControl/>
        <w:shd w:val="clear" w:color="auto" w:fill="FFFFFF"/>
        <w:spacing w:line="560" w:lineRule="exact"/>
        <w:ind w:firstLine="643" w:firstLineChars="200"/>
        <w:jc w:val="left"/>
        <w:rPr>
          <w:rFonts w:ascii="仿宋_GB2312" w:hAnsi="楷体" w:eastAsia="仿宋_GB2312" w:cs="宋体"/>
          <w:b/>
          <w:bCs/>
          <w:kern w:val="0"/>
          <w:sz w:val="32"/>
          <w:szCs w:val="32"/>
        </w:rPr>
      </w:pPr>
      <w:r>
        <w:rPr>
          <w:rFonts w:hint="eastAsia" w:ascii="仿宋_GB2312" w:hAnsi="楷体" w:eastAsia="仿宋_GB2312" w:cs="宋体"/>
          <w:b/>
          <w:bCs/>
          <w:kern w:val="0"/>
          <w:sz w:val="32"/>
          <w:szCs w:val="32"/>
        </w:rPr>
        <w:t>1.行政执法公示制度</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制定《行政执法公示管理办法》。依据省、市行政执法公示相关制度，结合实际，制定我局《行政执法公示管理办法》，明确执法公示的范围、内容、载体、程序、时限要求、监督方式和保障措施等事项；建立健全对公开信息的审核、纠错机制，构建分工明确、职责明晰、便捷高效的行政执法公示运行机制。</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加强事前公开。一是编制行政执法事项清单。结合全省“放管服”改革推进方案、营商环境整治方案和权责清单、罚没清单、监管清单等，编制本部门《行政执法事项清单》，明确行政执法主体、职责、权限、依据等须事前公开的内容。报市政府法制部门审核、备案。二是编制随机抽查事项清单。根据“双随机、一公开”监管要求，编制局《随机抽查事项清单》，明确抽查主体、依据、对象、内容、比例、方式、频次等须事前公开的内容。三是编制服务指南和各类执法工作流程图。根据相关法律法规规定，完善行政执法程序，编制我局各类行政执法流程图，明确具体操作流程。</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规范事中公示。一是统一执法文书样本。根据省制定的本系统执法文书样本，统一制定如皋市综合行政执法局执法文书样本，并在执法活动中按规定出具执法文书，告知行政相对人执法事由、依据、权利义务等内容，并做好说明解释工作。二是全面实行行政执法人员持证上岗和资格管理制度。行政执法人员开展检查、调查等执法活动要佩戴统一标识，主动亮明身份，出示省政府统一印制或经备案的行政执法证件，做好告知说明工作。三是政务服务窗口设置岗位信息公示牌，标明岗位职责、申请材料示范文本、办理进度查询、咨询服务、投诉举报等信息。</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推动事后公开。一是做好执法结果公开。在《行政执法公示管理办法》中明确行政执法行为事后公开的范围、内容、方式、时限、程序和公开期限等事项，确保应当公开的执法结果都向社会主动公开。向社会公众或者特定对象公开行政处罚执法结果信息，接受群众监督。二是及时向社会公布“双随机”抽查结果及查处结果。三是落实行政执法统计年报制度。每年1月10日前公开本机关上年度行政执法总体情况有关数据,并报市政府和上级主管部门。</w:t>
      </w:r>
    </w:p>
    <w:p>
      <w:pPr>
        <w:widowControl/>
        <w:shd w:val="clear" w:color="auto" w:fill="FFFFFF"/>
        <w:spacing w:line="560" w:lineRule="exact"/>
        <w:ind w:firstLine="643" w:firstLineChars="200"/>
        <w:jc w:val="left"/>
        <w:rPr>
          <w:rFonts w:hint="eastAsia" w:ascii="仿宋_GB2312" w:hAnsi="楷体" w:eastAsia="仿宋_GB2312" w:cs="宋体"/>
          <w:b/>
          <w:bCs/>
          <w:kern w:val="0"/>
          <w:sz w:val="32"/>
          <w:szCs w:val="32"/>
        </w:rPr>
      </w:pPr>
      <w:r>
        <w:rPr>
          <w:rFonts w:hint="eastAsia" w:ascii="仿宋_GB2312" w:hAnsi="楷体" w:eastAsia="仿宋_GB2312" w:cs="宋体"/>
          <w:b/>
          <w:bCs/>
          <w:kern w:val="0"/>
          <w:sz w:val="32"/>
          <w:szCs w:val="32"/>
        </w:rPr>
        <w:t>2.执法全过程记录制度</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行政执法机关要通过文字、音像记录等方式，对行政执法全过程进行全面、系统、规范记录，制作行政执法案卷，并归档保存，实现执法全过程留痕和可回溯管理。</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修订完善制度。修订完善各类行政执法全过程记录具体办法，如按行政处罚、行政检查的执法类别，修订完善我局行政执法全过程记录具体办法，绘制行政执法流程图，明确各个执法环节记录的内容、方式、载体等事项，完善执法信息采集、存储、分析、归档等规范化建设制度。报市司法局备案。</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规范文字记录。一是制定本机关统一规范的行政执法文书。参照省行政执法文书示范文本，结合工作实际，制定《执法文书规范》，统一执法文书文本。二是按要求规范开展文字记录工作。制定《执法用语规范》，规范执法用语，做到文字记录合法规范、客观全面、及时准确。</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推行音像记录。一是配备音像记录设备。按省要求全覆盖配备执法记录仪、手持执法终端等。二是编制音像记录事项清单。对查封扣押财产、强制拆除等直接涉及人身自由、生命健康、重大财产权益的现场执法活动和执法办案场所，要推行全程音像记录。明确记录方式以及应进行全过程音像记录的现场执法活动和执法场所。三是制定音像记录设备的使用、管理和监督规则，规范开展音像记录工作，并将音像资料及时归档保存。</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加强记录归档。建立《结案和案卷管理办法》，严格按执法案卷标准制作、管理和保存执法卷宗。积极推行执法文书和执法案卷电子化。逐步建立健全记录信息调阅监督制度。实现实时调阅、分级调阅，确保文字记录、音像记录规范、合法、有效。</w:t>
      </w:r>
    </w:p>
    <w:p>
      <w:pPr>
        <w:widowControl/>
        <w:shd w:val="clear" w:color="auto" w:fill="FFFFFF"/>
        <w:spacing w:line="560" w:lineRule="exact"/>
        <w:ind w:firstLine="643" w:firstLineChars="200"/>
        <w:jc w:val="left"/>
        <w:rPr>
          <w:rFonts w:hint="eastAsia" w:ascii="仿宋_GB2312" w:hAnsi="楷体" w:eastAsia="仿宋_GB2312" w:cs="宋体"/>
          <w:b/>
          <w:bCs/>
          <w:kern w:val="0"/>
          <w:sz w:val="32"/>
          <w:szCs w:val="32"/>
        </w:rPr>
      </w:pPr>
      <w:r>
        <w:rPr>
          <w:rFonts w:hint="eastAsia" w:ascii="仿宋_GB2312" w:hAnsi="楷体" w:eastAsia="仿宋_GB2312" w:cs="宋体"/>
          <w:b/>
          <w:bCs/>
          <w:kern w:val="0"/>
          <w:sz w:val="32"/>
          <w:szCs w:val="32"/>
        </w:rPr>
        <w:t>3.重大执法决定法制审核制度</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（1）健全审核制度。结合我局实际，对审核主体、范围、内容和程序等方面做进一步明确，制定《重大执法决定法制审核制度》，切实保障可行性和可操作性。</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（2）落实审核主体。法制审核由执法大队法制科和局法规科两级审核，从事行政处罚决定审核的人员，确保通过国家统一法律职业资格考试取得法律职业资格。</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确定审核范围。明确界定重大行政执法决定的审核范围，编制重大执法决定法制审核目录清单。重大行政执法决定必须由局法规科审核。除可以当场作出的行政处罚外，行政处罚决定作出前执法大队法制科均需进行法制审核。</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（4）细化审核程序。编制重大执法决定法制审核流程图。</w:t>
      </w:r>
      <w:r>
        <w:rPr>
          <w:rFonts w:hint="eastAsia" w:ascii="仿宋_GB2312" w:hAnsi="宋体" w:eastAsia="仿宋_GB2312"/>
          <w:sz w:val="32"/>
          <w:szCs w:val="32"/>
        </w:rPr>
        <w:t>明确送审材料、报送要求和审核方式、时限、责任。重大执法决定作出前未经法制审核或审核未通过的，不得作出执法决定。</w:t>
      </w:r>
    </w:p>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三、实施步骤</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 xml:space="preserve"> (一)安排部署阶段</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根据我市实施方案要求，结合我局实际，设立</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推进领导小组，研究制定具体工作方案，并于2019年9月30日前以正式文件形式报市司法局备案。</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（二）制定完善制度阶段</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凡本实施方案中需要制定或完善的各项制度、清单、流程图等制度文件，查漏补缺，在2019年10月10日前完成基础制度建设及汇编，并报市司法局备案。</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（三）全面实施阶段（2019年9月-10月）</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狠抓工作落实。我局的</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相关制度文件出台或修订后，要立即全面、严格、规范落实。并根据工作实际，突出问题导向，总结形成可复制、可推广经验。</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（四）总结验收阶段（2019年10月）</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对我局推行</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试点工作情况组织自查，并于2019年10月30日前将推行</w:t>
      </w:r>
      <w:r>
        <w:rPr>
          <w:rFonts w:hint="eastAsia" w:ascii="仿宋_GB2312" w:hAnsi="宋体" w:eastAsia="仿宋_GB2312" w:cs="宋体"/>
          <w:kern w:val="0"/>
          <w:sz w:val="32"/>
          <w:szCs w:val="32"/>
          <w:lang w:eastAsia="zh-CN"/>
        </w:rPr>
        <w:t>“三项制度”</w:t>
      </w:r>
      <w:r>
        <w:rPr>
          <w:rFonts w:hint="eastAsia" w:ascii="仿宋_GB2312" w:hAnsi="宋体" w:eastAsia="仿宋_GB2312" w:cs="宋体"/>
          <w:kern w:val="0"/>
          <w:sz w:val="32"/>
          <w:szCs w:val="32"/>
        </w:rPr>
        <w:t>的主要做法、典型经验和实施效果，形成总结报告报市司法局。</w:t>
      </w:r>
    </w:p>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四、组织保障</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 xml:space="preserve"> (一)加强组织领导</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仿宋" w:eastAsia="仿宋_GB2312" w:cs="宋体"/>
          <w:kern w:val="0"/>
          <w:sz w:val="32"/>
          <w:szCs w:val="32"/>
        </w:rPr>
        <w:t>成立由局长任组长的如皋市城管局推行</w:t>
      </w:r>
      <w:r>
        <w:rPr>
          <w:rFonts w:hint="eastAsia" w:ascii="仿宋_GB2312" w:hAnsi="仿宋" w:eastAsia="仿宋_GB2312" w:cs="宋体"/>
          <w:kern w:val="0"/>
          <w:sz w:val="32"/>
          <w:szCs w:val="32"/>
          <w:lang w:eastAsia="zh-CN"/>
        </w:rPr>
        <w:t>“三项制度”</w:t>
      </w:r>
      <w:r>
        <w:rPr>
          <w:rFonts w:hint="eastAsia" w:ascii="仿宋_GB2312" w:hAnsi="仿宋" w:eastAsia="仿宋_GB2312" w:cs="宋体"/>
          <w:kern w:val="0"/>
          <w:sz w:val="32"/>
          <w:szCs w:val="32"/>
        </w:rPr>
        <w:t>试点工作领导小组，领导小组下设办公室，办公室设在局法规科，负责</w:t>
      </w:r>
      <w:r>
        <w:rPr>
          <w:rFonts w:hint="eastAsia" w:ascii="仿宋_GB2312" w:hAnsi="仿宋" w:eastAsia="仿宋_GB2312" w:cs="宋体"/>
          <w:kern w:val="0"/>
          <w:sz w:val="32"/>
          <w:szCs w:val="32"/>
          <w:lang w:eastAsia="zh-CN"/>
        </w:rPr>
        <w:t>“三项制度”</w:t>
      </w:r>
      <w:r>
        <w:rPr>
          <w:rFonts w:hint="eastAsia" w:ascii="仿宋_GB2312" w:hAnsi="仿宋" w:eastAsia="仿宋_GB2312" w:cs="宋体"/>
          <w:kern w:val="0"/>
          <w:sz w:val="32"/>
          <w:szCs w:val="32"/>
        </w:rPr>
        <w:t>贯彻落实的具体日常工作。</w:t>
      </w:r>
    </w:p>
    <w:p>
      <w:pPr>
        <w:widowControl/>
        <w:shd w:val="clear" w:color="auto" w:fill="FFFFFF"/>
        <w:spacing w:line="560" w:lineRule="exact"/>
        <w:ind w:firstLine="640" w:firstLineChars="200"/>
        <w:jc w:val="left"/>
        <w:rPr>
          <w:rFonts w:ascii="楷体" w:hAnsi="楷体" w:eastAsia="楷体" w:cs="宋体"/>
          <w:kern w:val="0"/>
          <w:sz w:val="32"/>
          <w:szCs w:val="32"/>
        </w:rPr>
      </w:pPr>
      <w:r>
        <w:rPr>
          <w:rFonts w:hint="eastAsia" w:ascii="楷体" w:hAnsi="楷体" w:eastAsia="楷体" w:cs="宋体"/>
          <w:kern w:val="0"/>
          <w:sz w:val="32"/>
          <w:szCs w:val="32"/>
        </w:rPr>
        <w:t>（二）加强组织保障</w:t>
      </w:r>
    </w:p>
    <w:p>
      <w:pPr>
        <w:widowControl/>
        <w:shd w:val="clear" w:color="auto" w:fill="FFFFFF"/>
        <w:spacing w:line="560" w:lineRule="exact"/>
        <w:ind w:firstLine="640"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建立健全责任明确、管理规范、投入稳定的执法经费保障机制，保障行政执法机关依法履职所需的执法装备、经费和场所。积极开展</w:t>
      </w:r>
      <w:r>
        <w:rPr>
          <w:rFonts w:hint="eastAsia" w:ascii="仿宋_GB2312" w:hAnsi="仿宋" w:eastAsia="仿宋_GB2312" w:cs="宋体"/>
          <w:kern w:val="0"/>
          <w:sz w:val="32"/>
          <w:szCs w:val="32"/>
          <w:lang w:eastAsia="zh-CN"/>
        </w:rPr>
        <w:t>“三项制度”</w:t>
      </w:r>
      <w:r>
        <w:rPr>
          <w:rFonts w:hint="eastAsia" w:ascii="仿宋_GB2312" w:hAnsi="仿宋" w:eastAsia="仿宋_GB2312" w:cs="宋体"/>
          <w:kern w:val="0"/>
          <w:sz w:val="32"/>
          <w:szCs w:val="32"/>
        </w:rPr>
        <w:t>专题培训,加强业务交流。认真落实“谁执法谁普法”普法责任制,全方位宣传全面推行</w:t>
      </w:r>
      <w:r>
        <w:rPr>
          <w:rFonts w:hint="eastAsia" w:ascii="仿宋_GB2312" w:hAnsi="仿宋" w:eastAsia="仿宋_GB2312" w:cs="宋体"/>
          <w:kern w:val="0"/>
          <w:sz w:val="32"/>
          <w:szCs w:val="32"/>
          <w:lang w:eastAsia="zh-CN"/>
        </w:rPr>
        <w:t>“三项制度”</w:t>
      </w:r>
      <w:r>
        <w:rPr>
          <w:rFonts w:hint="eastAsia" w:ascii="仿宋_GB2312" w:hAnsi="仿宋" w:eastAsia="仿宋_GB2312" w:cs="宋体"/>
          <w:kern w:val="0"/>
          <w:sz w:val="32"/>
          <w:szCs w:val="32"/>
        </w:rPr>
        <w:t>的重要意义、主要做法、典型经验和实施效果,营造良好的社会氛围。</w:t>
      </w:r>
    </w:p>
    <w:p>
      <w:pPr>
        <w:widowControl/>
        <w:shd w:val="clear" w:color="auto" w:fill="FFFFFF"/>
        <w:spacing w:line="560" w:lineRule="exact"/>
        <w:ind w:firstLine="640" w:firstLineChars="200"/>
        <w:jc w:val="left"/>
        <w:rPr>
          <w:rFonts w:ascii="仿宋_GB2312" w:hAnsi="仿宋" w:eastAsia="仿宋_GB2312" w:cs="宋体"/>
          <w:kern w:val="0"/>
          <w:sz w:val="32"/>
          <w:szCs w:val="32"/>
        </w:rPr>
      </w:pPr>
      <w:r>
        <w:rPr>
          <w:rFonts w:hint="eastAsia" w:ascii="楷体" w:hAnsi="楷体" w:eastAsia="楷体" w:cs="宋体"/>
          <w:kern w:val="0"/>
          <w:sz w:val="32"/>
          <w:szCs w:val="32"/>
        </w:rPr>
        <w:t>(三)强化统筹衔接</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仿宋" w:eastAsia="仿宋_GB2312" w:cs="宋体"/>
          <w:kern w:val="0"/>
          <w:sz w:val="32"/>
          <w:szCs w:val="32"/>
        </w:rPr>
        <w:t>将</w:t>
      </w:r>
      <w:r>
        <w:rPr>
          <w:rFonts w:hint="eastAsia" w:ascii="仿宋_GB2312" w:hAnsi="仿宋" w:eastAsia="仿宋_GB2312" w:cs="宋体"/>
          <w:kern w:val="0"/>
          <w:sz w:val="32"/>
          <w:szCs w:val="32"/>
          <w:lang w:eastAsia="zh-CN"/>
        </w:rPr>
        <w:t>“三项制度”</w:t>
      </w:r>
      <w:r>
        <w:rPr>
          <w:rFonts w:hint="eastAsia" w:ascii="仿宋_GB2312" w:hAnsi="仿宋" w:eastAsia="仿宋_GB2312" w:cs="宋体"/>
          <w:kern w:val="0"/>
          <w:sz w:val="32"/>
          <w:szCs w:val="32"/>
        </w:rPr>
        <w:t>贯彻落实工作与标准化建设工作相结合，深入推进</w:t>
      </w:r>
      <w:r>
        <w:rPr>
          <w:rFonts w:hint="eastAsia" w:ascii="仿宋_GB2312" w:hAnsi="仿宋" w:eastAsia="仿宋_GB2312" w:cs="宋体"/>
          <w:kern w:val="0"/>
          <w:sz w:val="32"/>
          <w:szCs w:val="32"/>
          <w:lang w:eastAsia="zh-CN"/>
        </w:rPr>
        <w:t>“三项制度”</w:t>
      </w:r>
      <w:r>
        <w:rPr>
          <w:rFonts w:hint="eastAsia" w:ascii="仿宋_GB2312" w:hAnsi="仿宋" w:eastAsia="仿宋_GB2312" w:cs="宋体"/>
          <w:kern w:val="0"/>
          <w:sz w:val="32"/>
          <w:szCs w:val="32"/>
        </w:rPr>
        <w:t>的贯彻落实，并以此为契机，完善标准化建设工作，规范完善执法管理工作。</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楷体" w:hAnsi="楷体" w:eastAsia="楷体" w:cs="宋体"/>
          <w:kern w:val="0"/>
          <w:sz w:val="32"/>
          <w:szCs w:val="32"/>
        </w:rPr>
        <w:t>（四）加强队伍建设</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仿宋" w:eastAsia="仿宋_GB2312" w:cs="宋体"/>
          <w:kern w:val="0"/>
          <w:sz w:val="32"/>
          <w:szCs w:val="32"/>
        </w:rPr>
        <w:t>加强执法人员的能力素质建设，加强思想道德和素质教育，着力提升执法人员业务能力和执法素养，打造政治坚定、作风优良、纪律严明、廉洁务实的执法队伍。</w:t>
      </w:r>
      <w:r>
        <w:rPr>
          <w:rFonts w:hint="eastAsia" w:ascii="仿宋_GB2312" w:hAnsi="宋体" w:eastAsia="仿宋_GB2312" w:cs="宋体"/>
          <w:kern w:val="0"/>
          <w:sz w:val="32"/>
          <w:szCs w:val="32"/>
        </w:rPr>
        <w:t xml:space="preserve"> </w:t>
      </w:r>
    </w:p>
    <w:p>
      <w:pPr>
        <w:widowControl/>
        <w:shd w:val="clear" w:color="auto" w:fill="FFFFFF"/>
        <w:spacing w:line="560" w:lineRule="exact"/>
        <w:ind w:firstLine="200"/>
        <w:rPr>
          <w:rFonts w:hint="eastAsia" w:ascii="仿宋_GB2312" w:hAnsi="宋体" w:eastAsia="仿宋_GB2312" w:cs="宋体"/>
          <w:kern w:val="0"/>
          <w:sz w:val="32"/>
          <w:szCs w:val="32"/>
          <w:lang w:val="en-US" w:eastAsia="zh-CN"/>
        </w:rPr>
      </w:pPr>
    </w:p>
    <w:p>
      <w:pPr>
        <w:widowControl/>
        <w:shd w:val="clear" w:color="auto" w:fill="FFFFFF"/>
        <w:spacing w:line="560" w:lineRule="exact"/>
        <w:ind w:firstLine="200"/>
        <w:rPr>
          <w:rFonts w:hint="default" w:ascii="仿宋_GB2312" w:hAnsi="宋体" w:eastAsia="仿宋_GB2312" w:cs="宋体"/>
          <w:kern w:val="0"/>
          <w:sz w:val="32"/>
          <w:szCs w:val="32"/>
          <w:lang w:val="en-US" w:eastAsia="zh-CN"/>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如皋市城市管理局</w:t>
      </w:r>
    </w:p>
    <w:p>
      <w:pPr>
        <w:ind w:firstLine="4480" w:firstLineChars="14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2019年9月2</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pPr>
        <w:widowControl/>
        <w:shd w:val="clear" w:color="auto" w:fill="FFFFFF"/>
        <w:spacing w:line="560" w:lineRule="exact"/>
        <w:ind w:firstLine="200"/>
        <w:rPr>
          <w:rFonts w:hint="eastAsia" w:ascii="仿宋_GB2312" w:hAnsi="仿宋" w:eastAsia="仿宋_GB2312" w:cs="宋体"/>
          <w:kern w:val="0"/>
          <w:sz w:val="32"/>
          <w:szCs w:val="32"/>
        </w:rPr>
      </w:pPr>
    </w:p>
    <w:p>
      <w:pPr>
        <w:widowControl/>
        <w:shd w:val="clear" w:color="auto" w:fill="FFFFFF"/>
        <w:spacing w:line="560" w:lineRule="exact"/>
        <w:rPr>
          <w:rFonts w:hint="eastAsia" w:ascii="仿宋_GB2312" w:hAnsi="仿宋" w:eastAsia="仿宋_GB2312" w:cs="宋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F7655"/>
    <w:rsid w:val="000A5D7E"/>
    <w:rsid w:val="000B62EB"/>
    <w:rsid w:val="00116197"/>
    <w:rsid w:val="001308A9"/>
    <w:rsid w:val="00163C25"/>
    <w:rsid w:val="00165E0D"/>
    <w:rsid w:val="001D780E"/>
    <w:rsid w:val="00236F1A"/>
    <w:rsid w:val="002D5068"/>
    <w:rsid w:val="00446425"/>
    <w:rsid w:val="005752D1"/>
    <w:rsid w:val="005D6604"/>
    <w:rsid w:val="005F7655"/>
    <w:rsid w:val="006552B0"/>
    <w:rsid w:val="00675AAE"/>
    <w:rsid w:val="006A24CC"/>
    <w:rsid w:val="006B4C3A"/>
    <w:rsid w:val="006D2655"/>
    <w:rsid w:val="006F0827"/>
    <w:rsid w:val="0076210D"/>
    <w:rsid w:val="007D1A39"/>
    <w:rsid w:val="007E3319"/>
    <w:rsid w:val="007E60C7"/>
    <w:rsid w:val="008054ED"/>
    <w:rsid w:val="008E23FC"/>
    <w:rsid w:val="00912C24"/>
    <w:rsid w:val="009315CF"/>
    <w:rsid w:val="009D5AF2"/>
    <w:rsid w:val="00AF720D"/>
    <w:rsid w:val="00B054BE"/>
    <w:rsid w:val="00B20DE8"/>
    <w:rsid w:val="00B61BF0"/>
    <w:rsid w:val="00B82A12"/>
    <w:rsid w:val="00D14A14"/>
    <w:rsid w:val="00D30983"/>
    <w:rsid w:val="00D352BA"/>
    <w:rsid w:val="00D60072"/>
    <w:rsid w:val="00D60EB8"/>
    <w:rsid w:val="00E15542"/>
    <w:rsid w:val="00EA26F0"/>
    <w:rsid w:val="00EA355D"/>
    <w:rsid w:val="00F20914"/>
    <w:rsid w:val="00F430E8"/>
    <w:rsid w:val="00F50B3E"/>
    <w:rsid w:val="00F86E36"/>
    <w:rsid w:val="015B5310"/>
    <w:rsid w:val="0539215C"/>
    <w:rsid w:val="145F1B3A"/>
    <w:rsid w:val="2B982B6C"/>
    <w:rsid w:val="3B782EA2"/>
    <w:rsid w:val="43172F93"/>
    <w:rsid w:val="48173DBA"/>
    <w:rsid w:val="4C466C6D"/>
    <w:rsid w:val="658045AE"/>
    <w:rsid w:val="6B832905"/>
    <w:rsid w:val="759D4D80"/>
    <w:rsid w:val="7D127605"/>
    <w:rsid w:val="7EF61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黑体"/>
      <w:sz w:val="44"/>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rPr>
      <w:rFonts w:ascii="Times New Roman" w:hAnsi="Times New Roman" w:eastAsia="宋体" w:cs="Times New Roman"/>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semiHidden/>
    <w:qFormat/>
    <w:uiPriority w:val="99"/>
    <w:rPr>
      <w:sz w:val="18"/>
      <w:szCs w:val="18"/>
    </w:rPr>
  </w:style>
  <w:style w:type="character" w:customStyle="1" w:styleId="11">
    <w:name w:val="页脚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510</Words>
  <Characters>2913</Characters>
  <Lines>24</Lines>
  <Paragraphs>6</Paragraphs>
  <TotalTime>5</TotalTime>
  <ScaleCrop>false</ScaleCrop>
  <LinksUpToDate>false</LinksUpToDate>
  <CharactersWithSpaces>3417</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2019-09-20T03:38:00Z</dcterms:created>
  <dc:creator>user1</dc:creator>
  <cp:lastModifiedBy>柚柚茜</cp:lastModifiedBy>
  <cp:lastPrinted>2019-09-24T00:49:00Z</cp:lastPrinted>
  <dcterms:modified xsi:type="dcterms:W3CDTF">2020-01-21T02:39:54Z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